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36971" w14:textId="77777777" w:rsidR="00221E61" w:rsidRPr="002142C2" w:rsidRDefault="00221E61" w:rsidP="00792A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42C2">
        <w:rPr>
          <w:rFonts w:ascii="Times New Roman" w:hAnsi="Times New Roman" w:cs="Times New Roman"/>
          <w:b/>
        </w:rPr>
        <w:t>Сравнительная таблица с предложениями по внесению изменений и дополнений в Порядок осуществления закупок АО «Самрук-</w:t>
      </w:r>
      <w:r w:rsidRPr="002142C2">
        <w:rPr>
          <w:rFonts w:ascii="Times New Roman" w:hAnsi="Times New Roman" w:cs="Times New Roman"/>
          <w:b/>
          <w:lang w:val="kk-KZ"/>
        </w:rPr>
        <w:t>Қазына</w:t>
      </w:r>
      <w:r w:rsidRPr="002142C2">
        <w:rPr>
          <w:rFonts w:ascii="Times New Roman" w:hAnsi="Times New Roman" w:cs="Times New Roman"/>
          <w:b/>
        </w:rPr>
        <w:t>»</w:t>
      </w:r>
    </w:p>
    <w:tbl>
      <w:tblPr>
        <w:tblStyle w:val="a4"/>
        <w:tblW w:w="554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7"/>
        <w:gridCol w:w="966"/>
        <w:gridCol w:w="3287"/>
        <w:gridCol w:w="3403"/>
        <w:gridCol w:w="3119"/>
        <w:gridCol w:w="2695"/>
        <w:gridCol w:w="2262"/>
      </w:tblGrid>
      <w:tr w:rsidR="00A96DCF" w:rsidRPr="002142C2" w14:paraId="3F42D5CF" w14:textId="262A8CA2" w:rsidTr="005A45C1">
        <w:tc>
          <w:tcPr>
            <w:tcW w:w="132" w:type="pct"/>
          </w:tcPr>
          <w:p w14:paraId="4B9102B8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9" w:type="pct"/>
            <w:vAlign w:val="center"/>
          </w:tcPr>
          <w:p w14:paraId="1522318D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>№ подпункта, пункта, статьи</w:t>
            </w:r>
          </w:p>
        </w:tc>
        <w:tc>
          <w:tcPr>
            <w:tcW w:w="1017" w:type="pct"/>
            <w:vAlign w:val="center"/>
          </w:tcPr>
          <w:p w14:paraId="5BD3A67E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>Действующая редакция</w:t>
            </w:r>
          </w:p>
        </w:tc>
        <w:tc>
          <w:tcPr>
            <w:tcW w:w="1053" w:type="pct"/>
            <w:vAlign w:val="center"/>
          </w:tcPr>
          <w:p w14:paraId="61A7196C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>Новая редакция</w:t>
            </w:r>
          </w:p>
        </w:tc>
        <w:tc>
          <w:tcPr>
            <w:tcW w:w="965" w:type="pct"/>
            <w:vAlign w:val="center"/>
          </w:tcPr>
          <w:p w14:paraId="6287226B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  <w:tc>
          <w:tcPr>
            <w:tcW w:w="834" w:type="pct"/>
            <w:vAlign w:val="center"/>
          </w:tcPr>
          <w:p w14:paraId="05C2EEC2" w14:textId="21950689" w:rsidR="00A96DCF" w:rsidRPr="00A96DCF" w:rsidRDefault="00A96DCF" w:rsidP="00A9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Позиция бизнеса</w:t>
            </w:r>
          </w:p>
        </w:tc>
        <w:tc>
          <w:tcPr>
            <w:tcW w:w="701" w:type="pct"/>
            <w:vAlign w:val="center"/>
          </w:tcPr>
          <w:p w14:paraId="4961E41D" w14:textId="1A7DAD8F" w:rsidR="00A96DCF" w:rsidRPr="00A96DCF" w:rsidRDefault="00A96DCF" w:rsidP="00A9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Обоснование</w:t>
            </w:r>
          </w:p>
        </w:tc>
      </w:tr>
      <w:tr w:rsidR="00A96DCF" w:rsidRPr="002142C2" w14:paraId="0A5A07A4" w14:textId="30ED278E" w:rsidTr="005A45C1">
        <w:tc>
          <w:tcPr>
            <w:tcW w:w="132" w:type="pct"/>
          </w:tcPr>
          <w:p w14:paraId="00F64647" w14:textId="77777777" w:rsidR="00A96DCF" w:rsidRPr="002142C2" w:rsidRDefault="00A96DCF" w:rsidP="00FD132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02F2C2CD" w14:textId="77777777" w:rsidR="00A96DCF" w:rsidRPr="002142C2" w:rsidRDefault="00A96DCF" w:rsidP="00FD132F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bookmarkStart w:id="0" w:name="_Toc96707629"/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пункт 1 статьи 34 Порядка</w:t>
            </w:r>
            <w:bookmarkEnd w:id="0"/>
          </w:p>
          <w:p w14:paraId="3627DE02" w14:textId="77777777" w:rsidR="00A96DCF" w:rsidRPr="002142C2" w:rsidRDefault="00A96DCF" w:rsidP="00FD13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7" w:type="pct"/>
          </w:tcPr>
          <w:p w14:paraId="327CC628" w14:textId="77777777" w:rsidR="00A96DCF" w:rsidRPr="002142C2" w:rsidRDefault="00A96DCF" w:rsidP="00FD1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Заказчик/организатор закупок разделяет неоднородные товары, работы и услуги на лоты по однородности, однородные товары по видам однородности и по местам поставки. При этом однородные работы, услуги должны быть разделены на лоты по месту их выполнения, оказания. Настоящие требования не распространяются на закупку комплексных работ и централизованную закупку услуг по аудиту отдельной и консолидированной финансовой отчетности, комплексную закупку товаров, комплексную закупку услуг, комплексную закупку работ, закупку услуг медицинского страхования и услуг медицинского осмотра персонала.</w:t>
            </w:r>
          </w:p>
        </w:tc>
        <w:tc>
          <w:tcPr>
            <w:tcW w:w="1053" w:type="pct"/>
          </w:tcPr>
          <w:p w14:paraId="0CAF2B91" w14:textId="1A68FE01" w:rsidR="00A96DCF" w:rsidRPr="002142C2" w:rsidRDefault="00A96DCF" w:rsidP="00FD13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Абзац первый пункта 1 статьи 34 изложить в следующей редакции:</w:t>
            </w:r>
          </w:p>
          <w:p w14:paraId="77CACC70" w14:textId="7B83DC81" w:rsidR="00A96DCF" w:rsidRPr="002142C2" w:rsidRDefault="00A96DCF" w:rsidP="00FD13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val="kk-KZ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Заказчик/организатор закупок разделяет неоднородные товары, работы и услуги на лоты по однородности, однородные товары по видам однородности и по местам поставки. При этом однородные работы, услуги должны быть разделены на лоты по месту их выполнения, оказания. Настоящие требования не распространяются на закупку комплексных работ и централизованную закупку услуг по аудиту отдельной и консолидированной финансовой отчетности, комплексную закупку товаров, комплексную закупку услуг, комплексную закупку работ, закупку услуг медицинского страхования, услуг медицинского осмотра персонала,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работ по техническому/сервисному обслуживанию грузовых вагонов.</w:t>
            </w:r>
          </w:p>
        </w:tc>
        <w:tc>
          <w:tcPr>
            <w:tcW w:w="965" w:type="pct"/>
          </w:tcPr>
          <w:p w14:paraId="0F21D640" w14:textId="77777777" w:rsidR="00A96DCF" w:rsidRPr="002142C2" w:rsidRDefault="00A96DCF" w:rsidP="00FD13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соответствии с пунктом 6 Правил технической эксплуатации железнодорожного транспорта (утв. Приказом Министра по инвестициям и развитию Республики Казахстан от 30 апреля 2015 года № 544), «подвижной состав должен своевременно проходить планово-предупредительные виды ремонта, техническое и сервисное обслуживание».</w:t>
            </w:r>
          </w:p>
          <w:p w14:paraId="2024FE3E" w14:textId="77777777" w:rsidR="00A96DCF" w:rsidRPr="002142C2" w:rsidRDefault="00A96DCF" w:rsidP="00FD132F">
            <w:pPr>
              <w:pStyle w:val="p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2C2">
              <w:rPr>
                <w:sz w:val="22"/>
                <w:szCs w:val="22"/>
              </w:rPr>
              <w:t>Не допускается выпускать в эксплуатацию и допускать к следованию в поездах подвижной состав, в том числе СПС, имеющий неисправности, угрожающие безопасности движения.</w:t>
            </w:r>
          </w:p>
          <w:p w14:paraId="463A425A" w14:textId="77777777" w:rsidR="00A96DCF" w:rsidRPr="002142C2" w:rsidRDefault="00A96DCF" w:rsidP="00FD132F">
            <w:pPr>
              <w:pStyle w:val="p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2C2">
              <w:rPr>
                <w:sz w:val="22"/>
                <w:szCs w:val="22"/>
              </w:rPr>
              <w:t xml:space="preserve">В период всего жизненного цикла грузовые вагоны подлежат плановым видам ремонта и внеплановым ремонтам (текущий </w:t>
            </w:r>
            <w:proofErr w:type="spellStart"/>
            <w:r w:rsidRPr="002142C2">
              <w:rPr>
                <w:sz w:val="22"/>
                <w:szCs w:val="22"/>
              </w:rPr>
              <w:t>отцепочный</w:t>
            </w:r>
            <w:proofErr w:type="spellEnd"/>
            <w:r w:rsidRPr="002142C2">
              <w:rPr>
                <w:sz w:val="22"/>
                <w:szCs w:val="22"/>
              </w:rPr>
              <w:t xml:space="preserve"> ремонт).</w:t>
            </w:r>
          </w:p>
          <w:p w14:paraId="44104884" w14:textId="77777777" w:rsidR="00A96DCF" w:rsidRPr="002142C2" w:rsidRDefault="00A96DCF" w:rsidP="00FD132F">
            <w:pPr>
              <w:pStyle w:val="p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2C2">
              <w:rPr>
                <w:sz w:val="22"/>
                <w:szCs w:val="22"/>
              </w:rPr>
              <w:t xml:space="preserve">Текущий </w:t>
            </w:r>
            <w:proofErr w:type="spellStart"/>
            <w:r w:rsidRPr="002142C2">
              <w:rPr>
                <w:sz w:val="22"/>
                <w:szCs w:val="22"/>
              </w:rPr>
              <w:t>отцепочный</w:t>
            </w:r>
            <w:proofErr w:type="spellEnd"/>
            <w:r w:rsidRPr="002142C2">
              <w:rPr>
                <w:sz w:val="22"/>
                <w:szCs w:val="22"/>
              </w:rPr>
              <w:t xml:space="preserve"> ремонт (далее – ТОР) выполняется для обеспечения или </w:t>
            </w:r>
            <w:r w:rsidRPr="002142C2">
              <w:rPr>
                <w:sz w:val="22"/>
                <w:szCs w:val="22"/>
              </w:rPr>
              <w:lastRenderedPageBreak/>
              <w:t>восстановления работоспособности вагона с заменой или восстановлением отдельных составных частей, отцепкой от состава или группы вагонов, переводом в нерабочий парк и подачей на специализированные пути.</w:t>
            </w:r>
          </w:p>
          <w:p w14:paraId="3FBAD748" w14:textId="77777777" w:rsidR="00A96DCF" w:rsidRPr="002142C2" w:rsidRDefault="00A96DCF" w:rsidP="00FD132F">
            <w:pPr>
              <w:pStyle w:val="p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2C2">
              <w:rPr>
                <w:sz w:val="22"/>
                <w:szCs w:val="22"/>
              </w:rPr>
              <w:t>Грузовые вагоны курсируют по всей территории Республики Казахстан и за ее пределами.</w:t>
            </w:r>
          </w:p>
          <w:p w14:paraId="7DE1AB23" w14:textId="77777777" w:rsidR="00A96DCF" w:rsidRPr="002142C2" w:rsidRDefault="00A96DCF" w:rsidP="00FD132F">
            <w:pPr>
              <w:pStyle w:val="p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2C2">
              <w:rPr>
                <w:sz w:val="22"/>
                <w:szCs w:val="22"/>
              </w:rPr>
              <w:t>Отцепки вагонов в ТОР могут быть произведены в пути следования, на станции фактического нахождения вагона. Пересылка неисправных вагонов, угрожающих безопасности не допускается или допускается на ближайшую станцию, где расположены специализированные пункты ремонта.</w:t>
            </w:r>
          </w:p>
          <w:p w14:paraId="556F5094" w14:textId="0A5BF112" w:rsidR="00A96DCF" w:rsidRPr="002142C2" w:rsidRDefault="00A96DCF" w:rsidP="00FD132F">
            <w:pPr>
              <w:pStyle w:val="p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142C2">
              <w:rPr>
                <w:sz w:val="22"/>
                <w:szCs w:val="22"/>
              </w:rPr>
              <w:t>Резюмируя изложенное, в целях своевременного и бесперебойного ремонта вагонов необходимо предусмотреть в Порядке осуществления закупок АО «</w:t>
            </w:r>
            <w:proofErr w:type="spellStart"/>
            <w:r w:rsidRPr="002142C2">
              <w:rPr>
                <w:sz w:val="22"/>
                <w:szCs w:val="22"/>
              </w:rPr>
              <w:t>Самрук-Казына</w:t>
            </w:r>
            <w:proofErr w:type="spellEnd"/>
            <w:r w:rsidRPr="002142C2">
              <w:rPr>
                <w:sz w:val="22"/>
                <w:szCs w:val="22"/>
              </w:rPr>
              <w:t>» указание места выполнения работ по техническому/сервисному обслуживанию грузовых вагонов по территории Республики Казахстан.</w:t>
            </w:r>
          </w:p>
          <w:p w14:paraId="2A732924" w14:textId="77777777" w:rsidR="00A96DCF" w:rsidRPr="002142C2" w:rsidRDefault="00A96DCF" w:rsidP="00FD1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 xml:space="preserve">Сервисное обслуживание (действующее) включает в себя следующие работы и услуги на всей Территории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курсирования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Вагонов:</w:t>
            </w:r>
          </w:p>
          <w:p w14:paraId="1EFE08B8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отслеживание технического состояния вагонов, переданных на сервисное обслуживание и перевода их в нерабочий парк;</w:t>
            </w:r>
          </w:p>
          <w:p w14:paraId="12A14EFE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оформление перевозочных документов и передислокация вагонов для выполнения ремонтов;</w:t>
            </w:r>
          </w:p>
          <w:p w14:paraId="51601913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- выполнение текущего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отцепочного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ремонта вагонов, отцепленных по кодам неисправностей, указанным в Классификаторе «Основные неисправности грузовых вагонов», в том числе, связанных с заменой неремонтопригодных или требующих ремонта колесных пар, боковых рам,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надрессорных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балок тележек, автосцепок, поглощающих аппаратов;</w:t>
            </w:r>
          </w:p>
          <w:p w14:paraId="6EAECD95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выполнение плановых видов ремонта вагонов на территории Республики Казахстан;</w:t>
            </w:r>
          </w:p>
          <w:p w14:paraId="4311CB9C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транспортировка запасных частей, узлов и деталей к месту выполнения ремонта вагонов;</w:t>
            </w:r>
          </w:p>
          <w:p w14:paraId="1CBCEA87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- подача и уборка вагонов на/с путей общего пользования на/с пути эксплуатационного и/или вагоноремонтного предприятия для выполнения ремонта вагонов;</w:t>
            </w:r>
          </w:p>
          <w:p w14:paraId="167E0221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выполнение ремонта узлов и деталей вагонов;</w:t>
            </w:r>
          </w:p>
          <w:p w14:paraId="7B247198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хранение запасных частей, узлов и деталей заказчика;</w:t>
            </w:r>
          </w:p>
          <w:p w14:paraId="4026CA9B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хранение металлолома, образованного в процессе выполнения ремонта вагонов;</w:t>
            </w:r>
          </w:p>
          <w:p w14:paraId="2B3775D9" w14:textId="77777777" w:rsidR="00A96DCF" w:rsidRPr="002142C2" w:rsidRDefault="00A96DCF" w:rsidP="00FD132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- обеспечение сохранности вагонов, металлолома, запасных частей, узлов и деталей заказчика, в том числе ведение претензионной и исковой работы от имени заказчика.</w:t>
            </w:r>
          </w:p>
          <w:p w14:paraId="09B0E1FF" w14:textId="77777777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В соответствии с пунктом 10.4 договора о долгосрочных закупках работ по сервисному обслуживанию грузовых вагонов КТТ №31-12/52-НПС от 31.12.2019г. заключенного на 5-летний период, Сервисная компания приняла на себя гарантию, что примет все необходимые меры для равномерного справедливого распределения ежемесячных </w:t>
            </w:r>
            <w:r w:rsidRPr="002142C2">
              <w:rPr>
                <w:rFonts w:ascii="Times New Roman" w:hAnsi="Times New Roman" w:cs="Times New Roman"/>
              </w:rPr>
              <w:lastRenderedPageBreak/>
              <w:t>объемов и обеспечения уровня рентабельности выполнения ремонтов вагонов КТТ в вагоноремонтных предприятиях Республики Казахстан, а также что Подрядчиком самостоятельно, без участия Заказчика, будут урегулированы любые вопросы, связанные с настоящим заверением.</w:t>
            </w:r>
          </w:p>
          <w:p w14:paraId="61DAB725" w14:textId="77777777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настоящее время Сервисная компания продолжает работу с 18 вагоноремонтными предприятиями, с которыми работало Общество.</w:t>
            </w:r>
          </w:p>
          <w:p w14:paraId="1EB0F989" w14:textId="77777777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По данным ГВЦ КТЖ по состоянию на 26.06.2023г. наличие парка собственных вагонов, принадлежащих физическим и юридическим лицам, резидентам РК, приписанных к станциям АО «НК «КТЖ», зарегистрированных в АБД ПВ ИВЦ ЖА, составляет – 136 122 ед., из которого 29% является вагонным парком КТТ.</w:t>
            </w:r>
          </w:p>
          <w:p w14:paraId="0661B040" w14:textId="77777777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Соответственно считаем, что вагоны КТТ не занимают доминантное положение в части организации ремонтов.</w:t>
            </w:r>
          </w:p>
          <w:p w14:paraId="6CB3328E" w14:textId="77777777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Между тем, в связи с геополитической ситуацией </w:t>
            </w:r>
            <w:r w:rsidRPr="002142C2">
              <w:rPr>
                <w:rFonts w:ascii="Times New Roman" w:hAnsi="Times New Roman" w:cs="Times New Roman"/>
              </w:rPr>
              <w:lastRenderedPageBreak/>
              <w:t>для КТТ затруднен закуп запасных частей, узлов и деталей грузовых вагонов на территории Российской Федерации, где производиться более 60% комплектующих.</w:t>
            </w:r>
          </w:p>
          <w:p w14:paraId="31A77157" w14:textId="77777777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142C2">
              <w:rPr>
                <w:rFonts w:ascii="Times New Roman" w:hAnsi="Times New Roman" w:cs="Times New Roman"/>
              </w:rPr>
              <w:t xml:space="preserve">Кроме того, постоянные колебания цен на запасные части грузовых вагонов затрудняют Обществу проводить тендерные процедуры согласно Порядку.  </w:t>
            </w:r>
            <w:r w:rsidRPr="002142C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FB3E4E7" w14:textId="77777777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Передача в сервисное обслуживание грузовых вагонов позволит избежать проблемы по поставке запасных частей, узлов и деталей грузовых вагонов, тем самым обеспечить своевременный ремонт, исключить простой на станционных путях и обеспечить бесперебойную перевозку социально значимых грузов. </w:t>
            </w:r>
          </w:p>
          <w:p w14:paraId="3ACB1098" w14:textId="33616B01" w:rsidR="00A96DCF" w:rsidRPr="002142C2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Также необходимо учитывать при этом все вагоноремонтные депо будут задействованы в организации ремонта грузовых вагонов, объемы будут распределены пропорционально, данные требования будут учтены в проекте договора.</w:t>
            </w:r>
          </w:p>
        </w:tc>
        <w:tc>
          <w:tcPr>
            <w:tcW w:w="834" w:type="pct"/>
          </w:tcPr>
          <w:p w14:paraId="3D8810E9" w14:textId="0F557393" w:rsidR="00A96DCF" w:rsidRPr="00A96DCF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15135306" w14:textId="77777777" w:rsidR="00A96DCF" w:rsidRPr="00A96DCF" w:rsidRDefault="00A96DCF" w:rsidP="00FD132F">
            <w:pPr>
              <w:spacing w:after="0" w:line="240" w:lineRule="auto"/>
              <w:ind w:firstLine="269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6DCF" w:rsidRPr="002142C2" w14:paraId="4A944E90" w14:textId="754EA7E5" w:rsidTr="005A45C1">
        <w:tc>
          <w:tcPr>
            <w:tcW w:w="132" w:type="pct"/>
          </w:tcPr>
          <w:p w14:paraId="051CD84D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3EA2AC4F" w14:textId="77777777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П.2 ст.36</w:t>
            </w:r>
          </w:p>
        </w:tc>
        <w:tc>
          <w:tcPr>
            <w:tcW w:w="1017" w:type="pct"/>
          </w:tcPr>
          <w:p w14:paraId="01B91E3B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2. Обеспечение тендерной заявки вносится потенциальным поставщиком в виде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банковской гарантии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или денег, находящихся в электронном кошельке потенциального поставщика.</w:t>
            </w:r>
          </w:p>
          <w:p w14:paraId="35C97482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Не допускается совершение потенциальным поставщиком действий, приводящих к возникновению у третьих лиц права требования в целом либо в части денег, находящихся в электронном кошельке.</w:t>
            </w:r>
          </w:p>
          <w:p w14:paraId="0C87661D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Не допускается использование Оператором Фонда по закупкам денег, находящихся в электронном кошельке, за исключением случаев, указанных в пункте 5 настоящей статьи.</w:t>
            </w:r>
          </w:p>
        </w:tc>
        <w:tc>
          <w:tcPr>
            <w:tcW w:w="1053" w:type="pct"/>
          </w:tcPr>
          <w:p w14:paraId="41652A92" w14:textId="7777777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Абзац первый пункта 2 статьи 36 изложить в следующей редакции:</w:t>
            </w:r>
          </w:p>
          <w:p w14:paraId="7C709A10" w14:textId="190ADB53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2. Обеспечение тендерной заявки вносится потенциальным поставщиком в виде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электронной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банковской гарантии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или денег, находящихся в электронном кошельке потенциального поставщика.</w:t>
            </w:r>
          </w:p>
        </w:tc>
        <w:tc>
          <w:tcPr>
            <w:tcW w:w="965" w:type="pct"/>
          </w:tcPr>
          <w:p w14:paraId="1DD5A294" w14:textId="538FC01F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целях повышения прозрачности и оптимизации процесса закупок предлагается исключить возможность предоставления обеспечения тендерной заявки в виде банковской гарантии на бумажном носителе.</w:t>
            </w:r>
          </w:p>
          <w:p w14:paraId="60275FC2" w14:textId="09AB4590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государственных закупках данный вид обеспечения не предусмотрен.</w:t>
            </w:r>
          </w:p>
          <w:p w14:paraId="17B28427" w14:textId="6E1A15D3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Данное изменение позволит веб-порталу закупок в автоматическом режиме осуществлять отказ в приеме тендерных заявок, не содержащих обеспечение, что позволит ограничить участие недобросовестных поставщиков, подающих пустые заявки.</w:t>
            </w:r>
          </w:p>
          <w:p w14:paraId="137AF61E" w14:textId="44E4BD3A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К примеру, имеются факты, когда недобросовестные потенциальные поставщики подают пустые заявки с высокой ценой с целью увеличения порога демпинга для ограничения конкурентной среды.</w:t>
            </w:r>
          </w:p>
          <w:p w14:paraId="163C37E2" w14:textId="1745E8BA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Данная мера в том числе способствует решению данной проблемы.</w:t>
            </w:r>
          </w:p>
          <w:p w14:paraId="06D35279" w14:textId="49052D11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pct"/>
          </w:tcPr>
          <w:p w14:paraId="61961AAF" w14:textId="77777777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658BE71D" w14:textId="77777777" w:rsidR="00A96DCF" w:rsidRPr="002142C2" w:rsidRDefault="00A96DCF" w:rsidP="008D0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79B137BC" w14:textId="1B54248E" w:rsidTr="005A45C1">
        <w:tc>
          <w:tcPr>
            <w:tcW w:w="132" w:type="pct"/>
          </w:tcPr>
          <w:p w14:paraId="3696D4DD" w14:textId="3C8312A8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" w:type="pct"/>
          </w:tcPr>
          <w:p w14:paraId="5370E100" w14:textId="77777777" w:rsidR="00A96DCF" w:rsidRPr="002142C2" w:rsidRDefault="00A96DCF" w:rsidP="00792A37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П.4 ст. 36</w:t>
            </w:r>
          </w:p>
          <w:p w14:paraId="2C74981D" w14:textId="77777777" w:rsidR="00A96DCF" w:rsidRPr="002142C2" w:rsidRDefault="00A96DCF" w:rsidP="00792A37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</w:tcPr>
          <w:p w14:paraId="62AE6CAE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4.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 xml:space="preserve">Обеспечение тендерной заявки, внесенное потенциальным поставщиком,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возвращается потенциальному поставщику в течении 10 (десяти) рабочих дней со дня наступления одного из следующих случаев:</w:t>
            </w:r>
          </w:p>
          <w:p w14:paraId="27BF53BD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……………………</w:t>
            </w:r>
          </w:p>
          <w:p w14:paraId="10692D34" w14:textId="773DD7A8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6)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отмены/отказа от осуществления закупок.</w:t>
            </w:r>
          </w:p>
          <w:p w14:paraId="0FFC6595" w14:textId="68D6B84C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t>Отсутствует</w:t>
            </w:r>
          </w:p>
        </w:tc>
        <w:tc>
          <w:tcPr>
            <w:tcW w:w="1053" w:type="pct"/>
          </w:tcPr>
          <w:p w14:paraId="60D1BED2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Подпункт 6) пункта 4 статьи 36 дополнить абзацем вторым следующего содержания:</w:t>
            </w:r>
          </w:p>
          <w:p w14:paraId="6992793F" w14:textId="77777777" w:rsidR="00A96DCF" w:rsidRPr="002142C2" w:rsidRDefault="00A96DCF" w:rsidP="00792A37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 xml:space="preserve">Процедура возврата обеспечения тендерной заявки приостанавливается в случае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приостановле</w:t>
            </w:r>
            <w:proofErr w:type="spellEnd"/>
            <w:r w:rsidRPr="002142C2">
              <w:rPr>
                <w:rFonts w:ascii="Times New Roman" w:hAnsi="Times New Roman" w:cs="Times New Roman"/>
                <w:lang w:val="kk-KZ"/>
              </w:rPr>
              <w:t>ния процедуры заключения договора</w:t>
            </w:r>
            <w:r w:rsidRPr="002142C2">
              <w:rPr>
                <w:rFonts w:ascii="Times New Roman" w:hAnsi="Times New Roman" w:cs="Times New Roman"/>
              </w:rPr>
              <w:t xml:space="preserve"> централизованной службой по контролю за закупками.</w:t>
            </w:r>
          </w:p>
          <w:p w14:paraId="33424280" w14:textId="77777777" w:rsidR="00A96DCF" w:rsidRPr="002142C2" w:rsidRDefault="00A96DCF" w:rsidP="00792A37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данном случае течение срока возврата обеспечения тендерной заявки приостанавливается на время проведения внеплановой проверки.</w:t>
            </w:r>
          </w:p>
          <w:p w14:paraId="0FFDEF76" w14:textId="1FBF2FB6" w:rsidR="00A96DCF" w:rsidRPr="002142C2" w:rsidRDefault="00A96DCF" w:rsidP="00792A37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</w:rPr>
              <w:t>Течение срока возврата обеспечения тендерной заявки продолжается со дня принятия централизованной службой по контролю за закупками решения о возобновлении процедуры заключения договора.</w:t>
            </w:r>
          </w:p>
        </w:tc>
        <w:tc>
          <w:tcPr>
            <w:tcW w:w="965" w:type="pct"/>
          </w:tcPr>
          <w:p w14:paraId="1B6B779D" w14:textId="77777777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 xml:space="preserve">Согласно текущим положениям Порядка Заказчик после публикации протокола </w:t>
            </w:r>
            <w:r w:rsidRPr="002142C2">
              <w:rPr>
                <w:rFonts w:ascii="Times New Roman" w:hAnsi="Times New Roman" w:cs="Times New Roman"/>
              </w:rPr>
              <w:lastRenderedPageBreak/>
              <w:t xml:space="preserve">итогов, должен вернуть обеспечение заявки в течение 10 рабочих дней. </w:t>
            </w:r>
          </w:p>
          <w:p w14:paraId="5E4C3206" w14:textId="6AB3065F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При этом в случае поступления жалобы, данный срок не продлевается. </w:t>
            </w:r>
          </w:p>
          <w:p w14:paraId="721D229E" w14:textId="07C15A75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Однако, по итогам рассмотрения жалобы, итоги могут быть пересмотрены, в связи с чем победителем закупки может быть признан поставщик, которому уже вернули обеспечение заявки в рамках сроков, установленных Порядком. </w:t>
            </w:r>
          </w:p>
          <w:p w14:paraId="620771BA" w14:textId="4D08AD4A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таких случаях Заказчик не сможет удержать обеспечение, если поставщик уклонится от заключения договора либо заключив договор не внесет обеспечение исполнения договора.</w:t>
            </w:r>
          </w:p>
          <w:p w14:paraId="1BD835DF" w14:textId="541E39D4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Ввиду изложенного, предлагается приостанавливать процедуру возврата обеспечения заявки в случае приостановления процедуры заключения договора централизованной службой по контролю за закупками в связи с поступившей жалобой.</w:t>
            </w:r>
          </w:p>
        </w:tc>
        <w:tc>
          <w:tcPr>
            <w:tcW w:w="834" w:type="pct"/>
          </w:tcPr>
          <w:p w14:paraId="2D6AD527" w14:textId="77777777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060B17FB" w14:textId="77777777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59487B11" w14:textId="0911C0B0" w:rsidTr="005A45C1">
        <w:tc>
          <w:tcPr>
            <w:tcW w:w="132" w:type="pct"/>
          </w:tcPr>
          <w:p w14:paraId="1EB42720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004DCBF9" w14:textId="77777777" w:rsidR="00A96DCF" w:rsidRPr="002142C2" w:rsidRDefault="00A96DCF" w:rsidP="00792A37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Пп.4 п.4 ст.36</w:t>
            </w:r>
          </w:p>
        </w:tc>
        <w:tc>
          <w:tcPr>
            <w:tcW w:w="1017" w:type="pct"/>
          </w:tcPr>
          <w:p w14:paraId="4396BEA9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4.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 xml:space="preserve">Обеспечение тендерной заявки, внесенное потенциальным поставщиком, возвращается потенциальному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поставщику в течении 10 (десяти) рабочих дней со дня наступления одного из следующих случаев:</w:t>
            </w:r>
          </w:p>
          <w:p w14:paraId="091D43DF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вступления в силу договора о закупках и внесения потенциальным поставщиком, занявшим по итогам тендера второе место, определенным в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случае, предусмотренном подпунктом 2) пункта 5 статьи 43 Порядка,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исполнения договора, предусмотренного тендерной документацией;</w:t>
            </w:r>
          </w:p>
          <w:p w14:paraId="42C18825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90CDE2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pct"/>
          </w:tcPr>
          <w:p w14:paraId="6F3713CA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Подпункт 4) пункта 4 статьи 36 изложить в следующей редакции:</w:t>
            </w:r>
          </w:p>
          <w:p w14:paraId="2EFF3188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вступления в силу договора о закупках и внесения потенциальным поставщиком, занявшим по итогам тендера второе место, определенным в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случаях, предусмотренных подпунктами 1), 2) и 4) пункта 5 статьи 43 Порядка,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исполнения договора, предусмотренного тендерной документацией;</w:t>
            </w:r>
          </w:p>
          <w:p w14:paraId="0F1BFFB5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pct"/>
          </w:tcPr>
          <w:p w14:paraId="780B9C1B" w14:textId="77777777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 xml:space="preserve">Согласно текущим положениям Порядка, обеспечение тендерной заявки поставщику, занявшему </w:t>
            </w: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>второе место, который уклонился от заключения договора либо не внес обеспечение, не возвращается только в случае, если его определили победителем в связи с уклонением победителя закупки от заключения договора.</w:t>
            </w:r>
          </w:p>
          <w:p w14:paraId="6DCCDDAF" w14:textId="77777777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При этом, в случае, если победитель не внес обеспечение исполнения договора либо был внесен в перечень ненадежных поставщиков, поставщик, занявший второе место, не несет ответственности за уклонение от заключения договора (не вносится в перечень ненадежных поставщиков и обеспечение заявки не удерживается).</w:t>
            </w:r>
          </w:p>
          <w:p w14:paraId="02CE87D9" w14:textId="6CE60C2F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В связи с этим, предлагается удерживать обеспечение заявки у поставщика, занявшего второе место, в том числе в вышеуказанных случаях ввиду отсутствия какой-либо ответственности за уклонение от заключения договора согласно текущим положениям Порядка.</w:t>
            </w:r>
          </w:p>
          <w:p w14:paraId="402D794D" w14:textId="59EA39A4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4" w:type="pct"/>
          </w:tcPr>
          <w:p w14:paraId="26403B39" w14:textId="77777777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</w:tcPr>
          <w:p w14:paraId="0919D331" w14:textId="77777777" w:rsidR="00A96DCF" w:rsidRPr="002142C2" w:rsidRDefault="00A96DCF" w:rsidP="00DB7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6DCF" w:rsidRPr="002142C2" w14:paraId="74EAD3F4" w14:textId="32FC176B" w:rsidTr="005A45C1">
        <w:tc>
          <w:tcPr>
            <w:tcW w:w="132" w:type="pct"/>
          </w:tcPr>
          <w:p w14:paraId="4CA60FFF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19C074CB" w14:textId="77777777" w:rsidR="00A96DCF" w:rsidRPr="002142C2" w:rsidRDefault="00A96DCF" w:rsidP="00792A37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Пп.3) п.5 ст.36</w:t>
            </w:r>
          </w:p>
        </w:tc>
        <w:tc>
          <w:tcPr>
            <w:tcW w:w="1017" w:type="pct"/>
          </w:tcPr>
          <w:p w14:paraId="074D4A58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5.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 xml:space="preserve">Обеспечение тендерной заявки, внесенное потенциальным поставщиком,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не возвращается при наступлении одного из следующих случаев:</w:t>
            </w:r>
          </w:p>
          <w:p w14:paraId="3B29C718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4CC7B53E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3)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потенциальный поставщик, занявший по итогам сопоставления и оценки второе место, определенный в случае, предусмотренном подпунктом 2) пункта 5 статьи 43 Порядка, уклонился от заключения договора о закупках или заключив договор о закупках, не исполнил либо несвоевременно исполнил требование, установленное тендерной документацией, о внесении обеспечения исполнения договора.</w:t>
            </w:r>
          </w:p>
        </w:tc>
        <w:tc>
          <w:tcPr>
            <w:tcW w:w="1053" w:type="pct"/>
          </w:tcPr>
          <w:p w14:paraId="2480D6FA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Подпункт 3) пункта 5 статьи 36 изложить в следующей редакции:</w:t>
            </w:r>
          </w:p>
          <w:p w14:paraId="7DC40B49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lastRenderedPageBreak/>
              <w:t>3)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 xml:space="preserve">потенциальный поставщик, занявший по итогам сопоставления и оценки второе место, определенный 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случаях, предусмотренных подпунктами 1), 2) и 4) пункта 5 статьи 43 Порядка</w:t>
            </w:r>
            <w:r w:rsidRPr="002142C2">
              <w:rPr>
                <w:rFonts w:ascii="Times New Roman" w:eastAsia="Times New Roman" w:hAnsi="Times New Roman" w:cs="Times New Roman"/>
              </w:rPr>
              <w:t>, уклонился от заключения договора о закупках или заключив договор о закупках, не исполнил либо несвоевременно исполнил требование, установленное тендерной документацией, о внесении обеспечения исполнения договора.</w:t>
            </w:r>
          </w:p>
        </w:tc>
        <w:tc>
          <w:tcPr>
            <w:tcW w:w="965" w:type="pct"/>
          </w:tcPr>
          <w:p w14:paraId="64F1E0E2" w14:textId="3AAA44CA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Обоснование указано в предыдущем пункте сравнительной таблицы.</w:t>
            </w:r>
          </w:p>
        </w:tc>
        <w:tc>
          <w:tcPr>
            <w:tcW w:w="834" w:type="pct"/>
          </w:tcPr>
          <w:p w14:paraId="0FA0630C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0C1B38D8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21859FA8" w14:textId="31D43DF1" w:rsidTr="005A45C1">
        <w:tc>
          <w:tcPr>
            <w:tcW w:w="132" w:type="pct"/>
          </w:tcPr>
          <w:p w14:paraId="6FD230DF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6DA9D751" w14:textId="77777777" w:rsidR="00A96DCF" w:rsidRPr="002142C2" w:rsidRDefault="00A96DCF" w:rsidP="00792A37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П.5 ст. 36</w:t>
            </w:r>
          </w:p>
          <w:p w14:paraId="27B62574" w14:textId="77777777" w:rsidR="00A96DCF" w:rsidRPr="002142C2" w:rsidRDefault="00A96DCF" w:rsidP="00792A37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pct"/>
          </w:tcPr>
          <w:p w14:paraId="11C7A3B1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5.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Обеспечение тендерной заявки, внесенное потенциальным поставщиком, не возвращается при наступлении одного из следующих случаев:</w:t>
            </w:r>
          </w:p>
          <w:p w14:paraId="32DF7AE5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1)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потенциальный поставщик, определенный победителем тендера, уклонился от заключения договора о закупках;</w:t>
            </w:r>
          </w:p>
          <w:p w14:paraId="427A6282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2)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 xml:space="preserve">победитель тендера, заключив договор о закупках, не исполнил либо несвоевременно исполнил требование, установленное тендерной документацией, о внесении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обеспечения исполнения договора;</w:t>
            </w:r>
          </w:p>
          <w:p w14:paraId="6C21DB5B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3)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потенциальный поставщик, занявший по итогам сопоставления и оценки второе место, определенный в случае, предусмотренном подпунктом 2) пункта 5 статьи 43 Порядка, уклонился от заключения договора о закупках или заключив договор о закупках, не исполнил либо несвоевременно исполнил требование, установленное тендерной документацией, о внесении обеспечения исполнения договора.</w:t>
            </w:r>
          </w:p>
        </w:tc>
        <w:tc>
          <w:tcPr>
            <w:tcW w:w="1053" w:type="pct"/>
          </w:tcPr>
          <w:p w14:paraId="69E932DC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Пункт 5 статьи 36 дополнить подпунктом 4) следующего содержания:</w:t>
            </w:r>
          </w:p>
          <w:p w14:paraId="3251050E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4)</w:t>
            </w:r>
            <w:r w:rsidRPr="002142C2">
              <w:rPr>
                <w:rFonts w:ascii="Times New Roman" w:hAnsi="Times New Roman" w:cs="Times New Roman"/>
              </w:rPr>
              <w:tab/>
              <w:t xml:space="preserve">установления факта предоставления недостоверной информации в тендерной заявке потенциального поставщика согласно документу, подтверждающему предоставление потенциальным поставщиком недостоверной информации, подписанному уполномоченным представителем государственного органа, юридического либо иного заинтересованного лица или </w:t>
            </w:r>
            <w:r w:rsidRPr="002142C2">
              <w:rPr>
                <w:rFonts w:ascii="Times New Roman" w:hAnsi="Times New Roman" w:cs="Times New Roman"/>
              </w:rPr>
              <w:lastRenderedPageBreak/>
              <w:t>подписанному физическим лицом.</w:t>
            </w:r>
          </w:p>
        </w:tc>
        <w:tc>
          <w:tcPr>
            <w:tcW w:w="965" w:type="pct"/>
          </w:tcPr>
          <w:p w14:paraId="693BA979" w14:textId="325088C2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Ввиду частых случаев предоставления поддельных документов в закупках организаций Фонда в целях обеспечения добросовестной конкуренции между потенциальными поставщиками предлагается не возвращать обеспечение тендерной заявки потенциальным поставщикам, предоставившим недостоверную информацию в составе тендерной заявки.</w:t>
            </w:r>
          </w:p>
        </w:tc>
        <w:tc>
          <w:tcPr>
            <w:tcW w:w="834" w:type="pct"/>
          </w:tcPr>
          <w:p w14:paraId="53E9250E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36590C50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03366FA8" w14:textId="0693051D" w:rsidTr="005A45C1">
        <w:tc>
          <w:tcPr>
            <w:tcW w:w="132" w:type="pct"/>
          </w:tcPr>
          <w:p w14:paraId="7E58BA30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2CEBB747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</w:t>
            </w:r>
            <w:r w:rsidRPr="002142C2">
              <w:rPr>
                <w:rFonts w:ascii="Times New Roman" w:hAnsi="Times New Roman" w:cs="Times New Roman"/>
                <w:bCs/>
                <w:color w:val="000000"/>
              </w:rPr>
              <w:t>.6 ст.36</w:t>
            </w:r>
          </w:p>
        </w:tc>
        <w:tc>
          <w:tcPr>
            <w:tcW w:w="1017" w:type="pct"/>
          </w:tcPr>
          <w:p w14:paraId="69E2F1BD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Обеспечение тендерной заявки не вносится:</w:t>
            </w:r>
          </w:p>
          <w:p w14:paraId="4260BC6C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Фондом и организациями Фонда;</w:t>
            </w:r>
          </w:p>
          <w:p w14:paraId="14295022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организациями инвалидов (физическими лицами – инвалидами, осуществляющими предпринимательскую деятельность), состоящими в Реестре ОИН;</w:t>
            </w:r>
          </w:p>
          <w:p w14:paraId="0FF3D41D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квалифицированными потенциальными поставщиками при участии в закупках среди квалифицированных потенциальных поставщиков;</w:t>
            </w:r>
          </w:p>
          <w:p w14:paraId="181D1303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товаропроизводителями закупаемого товара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(товаропроизводителей товаров, однородных с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закупаемыми, на основании заявления (декларации), указанной в пункте 18 Приложения № 6 к Порядку).</w:t>
            </w:r>
          </w:p>
          <w:p w14:paraId="2E6F0F97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Положения подпунктов 1), 2) и 4) настоящего пункта не распространяются на консорциумы.</w:t>
            </w:r>
          </w:p>
        </w:tc>
        <w:tc>
          <w:tcPr>
            <w:tcW w:w="1053" w:type="pct"/>
          </w:tcPr>
          <w:p w14:paraId="015578BC" w14:textId="747549B2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Абзац первый подпункта 4) пункта 6 статьи 36 изложить в следующей редакции:</w:t>
            </w:r>
          </w:p>
          <w:p w14:paraId="5DA66BC5" w14:textId="7D069A2C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товаропроизводителями закупаемого товара (товаропроизводителями товаров, однородных с закупаемыми, на основании заявления (декларации), указанной в пункте 18 Приложения № 6 к Порядку,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которое может быть представлено только при участии в закупках среди товаропроизводителей закупаемого товара)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5" w:type="pct"/>
          </w:tcPr>
          <w:p w14:paraId="6496C11E" w14:textId="3DFEB76B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Уточняющая правка в связи с тем, что на практике участились случаи, когда товаропроизводитель, не производящий закупаемый товар, участвуя в закупках на общих основаниях прикладывает декларацию в целях невнесения обеспечения тендерной заявки.</w:t>
            </w:r>
          </w:p>
          <w:p w14:paraId="54813CE8" w14:textId="16C212D8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При этом, согласно пункту 18 Приложения № 6 к Порядку, данный документ предоставляется только при участии в закупках среди товаропроизводителей закупаемого товара.</w:t>
            </w:r>
          </w:p>
        </w:tc>
        <w:tc>
          <w:tcPr>
            <w:tcW w:w="834" w:type="pct"/>
          </w:tcPr>
          <w:p w14:paraId="6453AD5E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1" w:type="pct"/>
          </w:tcPr>
          <w:p w14:paraId="5137D7FD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96DCF" w:rsidRPr="002142C2" w14:paraId="39BE7612" w14:textId="696E2E8C" w:rsidTr="005A45C1">
        <w:tc>
          <w:tcPr>
            <w:tcW w:w="132" w:type="pct"/>
          </w:tcPr>
          <w:p w14:paraId="149776E3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11B8A9E0" w14:textId="5FFE701A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  <w:t>П.1 ст.37</w:t>
            </w:r>
          </w:p>
        </w:tc>
        <w:tc>
          <w:tcPr>
            <w:tcW w:w="1017" w:type="pct"/>
          </w:tcPr>
          <w:p w14:paraId="7459ADD2" w14:textId="45016340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При осуществлении закупок товаров, работ и услуг, поставка, выполнение и оказание которых подлежит обязательному лицензированию или получению другого разрешительного документа в соответствии с законодательством Республики Казахстан, объявление о закупках способом запроса ценовых предложений должно содержать требование о предоставлении разрешения (лицензии), выданного в соответствии с законодательством Республики Казахстан о разрешениях и уведомлениях, с указанием на соответствующую(</w:t>
            </w:r>
            <w:proofErr w:type="spellStart"/>
            <w:r w:rsidRPr="002142C2">
              <w:rPr>
                <w:rFonts w:ascii="Times New Roman" w:eastAsia="Arial" w:hAnsi="Times New Roman" w:cs="Times New Roman"/>
                <w:color w:val="000000"/>
              </w:rPr>
              <w:t>ие</w:t>
            </w:r>
            <w:proofErr w:type="spellEnd"/>
            <w:r w:rsidRPr="002142C2">
              <w:rPr>
                <w:rFonts w:ascii="Times New Roman" w:eastAsia="Arial" w:hAnsi="Times New Roman" w:cs="Times New Roman"/>
                <w:color w:val="000000"/>
              </w:rPr>
              <w:t>) лицензию(и) и иные разрешительные документы, а также виды (подвиды) деятельности, подлежащих разрешению (лицензированию) в соответствии с законодательством Республики Казахстан.</w:t>
            </w:r>
          </w:p>
        </w:tc>
        <w:tc>
          <w:tcPr>
            <w:tcW w:w="1053" w:type="pct"/>
          </w:tcPr>
          <w:p w14:paraId="21E3463B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Абзац второй пункта 1 статьи 37 изложить в следующей редакции:</w:t>
            </w:r>
          </w:p>
          <w:p w14:paraId="2F6E3B04" w14:textId="3BED56E5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При осуществлении закупок товаров, работ и услуг, поставка, выполнение и оказание которых подлежит обязательному лицензированию или получению другого разрешительного документа в соответствии с законодательством Республики Казахстан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о разрешениях и уведомлениях,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объявление о закупках способом запроса ценовых предложений должно содержать требование о предоставлении разрешения (лицензии), выданного в соответствии с законодательством Республики Казахстан о разрешениях и уведомлениях, с указанием на соответствующую(</w:t>
            </w:r>
            <w:proofErr w:type="spellStart"/>
            <w:r w:rsidRPr="002142C2">
              <w:rPr>
                <w:rFonts w:ascii="Times New Roman" w:eastAsia="Arial" w:hAnsi="Times New Roman" w:cs="Times New Roman"/>
                <w:color w:val="000000"/>
              </w:rPr>
              <w:t>ие</w:t>
            </w:r>
            <w:proofErr w:type="spellEnd"/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) лицензию(и) и иные разрешительные документы, а также виды (подвиды) деятельности, подлежащих разрешению (лицензированию) в 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соответствии с законодательством Республики Казахстан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о разрешениях и уведомлениях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>.</w:t>
            </w:r>
          </w:p>
        </w:tc>
        <w:tc>
          <w:tcPr>
            <w:tcW w:w="965" w:type="pct"/>
          </w:tcPr>
          <w:p w14:paraId="510B2811" w14:textId="77777777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>Уточняющая правка.</w:t>
            </w:r>
          </w:p>
          <w:p w14:paraId="32DAC752" w14:textId="553A6916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Согласно данному положению Порядка в закупках способом ЗЦП устанавливаются требования только в соответствии с Законом РК «О разрешениях и уведомлениях».</w:t>
            </w:r>
          </w:p>
        </w:tc>
        <w:tc>
          <w:tcPr>
            <w:tcW w:w="834" w:type="pct"/>
          </w:tcPr>
          <w:p w14:paraId="1D248628" w14:textId="02F6EA50" w:rsidR="00A96DCF" w:rsidRDefault="00A96DCF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  <w:p w14:paraId="6C413894" w14:textId="77777777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</w:tcPr>
          <w:p w14:paraId="70784322" w14:textId="77777777" w:rsidR="00A96DCF" w:rsidRDefault="00A96DCF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  <w:p w14:paraId="42FC9F4E" w14:textId="77777777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6DCF" w:rsidRPr="002142C2" w14:paraId="486F7932" w14:textId="59C1D9D6" w:rsidTr="005A45C1">
        <w:tc>
          <w:tcPr>
            <w:tcW w:w="132" w:type="pct"/>
          </w:tcPr>
          <w:p w14:paraId="5A662618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1BD04B0D" w14:textId="77777777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  <w:t>Ст.37</w:t>
            </w:r>
          </w:p>
        </w:tc>
        <w:tc>
          <w:tcPr>
            <w:tcW w:w="1017" w:type="pct"/>
          </w:tcPr>
          <w:p w14:paraId="20DC0485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Статья 37. Формирование и утверждение объявления о закупках способом запроса ценовых предложений</w:t>
            </w:r>
          </w:p>
          <w:p w14:paraId="33A63124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…………………..</w:t>
            </w:r>
          </w:p>
          <w:p w14:paraId="09B80F38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Отсутствует</w:t>
            </w:r>
          </w:p>
        </w:tc>
        <w:tc>
          <w:tcPr>
            <w:tcW w:w="1053" w:type="pct"/>
          </w:tcPr>
          <w:p w14:paraId="752C825A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Статью 37 дополнить пунктом 3-1 следующего содержания:</w:t>
            </w:r>
          </w:p>
          <w:p w14:paraId="670F6AAE" w14:textId="31E53428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3-1. При осуществлении закупок товаров допускается указание в объявлении о закупках способом запроса ценовых предложения требования о предоставлении потенциальным поставщиком в составе ценового предложения</w:t>
            </w:r>
            <w:r w:rsidRPr="002142C2">
              <w:rPr>
                <w:rFonts w:ascii="Times New Roman" w:hAnsi="Times New Roman" w:cs="Times New Roman"/>
              </w:rPr>
              <w:t xml:space="preserve"> 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сведений о марке/модели, наименовании производителя, стране происхождения товара,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а также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адреса официального веб-сайта производителя или письма от производителя либо его официального представителя (дилера или дистрибьютера) (с предоставлением документа от производителя, подтверждающего статус официального представителя).</w:t>
            </w:r>
          </w:p>
          <w:p w14:paraId="47919A93" w14:textId="48059E9E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 xml:space="preserve">Не допускается установление требования, предусмотренного настоящим пунктом, при проведении закупок среди товаропроизводителей закупаемого товара, организаций инвалидов (физических лиц - инвалидов, осуществляющих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предпринимательскую деятельность).</w:t>
            </w:r>
          </w:p>
        </w:tc>
        <w:tc>
          <w:tcPr>
            <w:tcW w:w="965" w:type="pct"/>
          </w:tcPr>
          <w:p w14:paraId="49AAB173" w14:textId="2B009BC6" w:rsidR="00A96DCF" w:rsidRPr="002142C2" w:rsidRDefault="00A96DCF" w:rsidP="00D3152C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В целях повышения качества закупаемых товаров, в рамках борьбы с непродуктивными посредниками и фактами поставки контрафактной продукции предлагается ввести требование о предоставлении ссылки на официальный веб-сайт производителя (либо письма от производителя или официального представителя) в случае, если Заказчик установил требование об указании потенциальным поставщиком марки/модели предлагаемого к поставке товара.</w:t>
            </w:r>
          </w:p>
          <w:p w14:paraId="48E9CABA" w14:textId="74897544" w:rsidR="00A96DCF" w:rsidRPr="002142C2" w:rsidRDefault="00A96DCF" w:rsidP="00D3152C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Организации Фонда систематически сталкиваются с ситуациями, когда недобросовестные потенциальные поставщики в заявках указывают вымышленные названия марок/моделей и производителей товаров, личные адреса и телефоны либо продавцов с площадок </w:t>
            </w:r>
            <w:proofErr w:type="spellStart"/>
            <w:r w:rsidRPr="002142C2">
              <w:rPr>
                <w:rFonts w:ascii="Times New Roman" w:hAnsi="Times New Roman" w:cs="Times New Roman"/>
              </w:rPr>
              <w:t>AliExpress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42C2">
              <w:rPr>
                <w:rFonts w:ascii="Times New Roman" w:hAnsi="Times New Roman" w:cs="Times New Roman"/>
              </w:rPr>
              <w:t>Alibaba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42C2">
              <w:rPr>
                <w:rFonts w:ascii="Times New Roman" w:hAnsi="Times New Roman" w:cs="Times New Roman"/>
              </w:rPr>
              <w:t>Taobao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42C2">
              <w:rPr>
                <w:rFonts w:ascii="Times New Roman" w:hAnsi="Times New Roman" w:cs="Times New Roman"/>
              </w:rPr>
              <w:t>eBay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42C2">
              <w:rPr>
                <w:rFonts w:ascii="Times New Roman" w:hAnsi="Times New Roman" w:cs="Times New Roman"/>
              </w:rPr>
              <w:t>Amazon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и аналогичных, </w:t>
            </w:r>
            <w:r w:rsidRPr="002142C2">
              <w:rPr>
                <w:rFonts w:ascii="Times New Roman" w:hAnsi="Times New Roman" w:cs="Times New Roman"/>
              </w:rPr>
              <w:lastRenderedPageBreak/>
              <w:t>чтобы Заказчик не смог перепроверить информацию и отклонить заявку поставщика, что создает благоприятную почву для недобросовестной конкуренции и участия в закупках непродуктивных посредников.</w:t>
            </w:r>
          </w:p>
          <w:p w14:paraId="7D60EE54" w14:textId="0B4353C4" w:rsidR="00A96DCF" w:rsidRPr="002142C2" w:rsidRDefault="00A96DCF" w:rsidP="00D3152C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Также нередки случаи, когда при проверке официального статуса такого продавца у производителя (</w:t>
            </w:r>
            <w:proofErr w:type="spellStart"/>
            <w:r w:rsidRPr="002142C2">
              <w:rPr>
                <w:rFonts w:ascii="Times New Roman" w:hAnsi="Times New Roman" w:cs="Times New Roman"/>
              </w:rPr>
              <w:t>вендора</w:t>
            </w:r>
            <w:proofErr w:type="spellEnd"/>
            <w:r w:rsidRPr="002142C2">
              <w:rPr>
                <w:rFonts w:ascii="Times New Roman" w:hAnsi="Times New Roman" w:cs="Times New Roman"/>
              </w:rPr>
              <w:t>) выясняется, что такой продавец не имеет никакого отношения к производителю и продает неофициальный (серый, контрафактный) товар, который не будет поддерживаться гарантией производителя. Более того, если это запасная часть, то при ее установке в оборудование все оборудование будет снято с гарантии производителя.</w:t>
            </w:r>
          </w:p>
          <w:p w14:paraId="2B0117E8" w14:textId="77777777" w:rsidR="00A96DCF" w:rsidRPr="002142C2" w:rsidRDefault="00A96DCF" w:rsidP="00CA5B23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При этом, согласно нормам Порядка, Заказчик не имеет права отклонить такую заявку, так как Порядком предусмотрено отклонение только за несоответствие технических характеристик предлагаемой марки/модели и/или сведений о марке/модели, производителе, стране происхождения. </w:t>
            </w:r>
          </w:p>
          <w:p w14:paraId="0AA40348" w14:textId="5864B859" w:rsidR="00A96DCF" w:rsidRPr="002142C2" w:rsidRDefault="00A96DCF" w:rsidP="00CA5B23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 xml:space="preserve">Официальное подтверждение от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вендора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о том, что такой продавец не имеет законного права на реализацию товара на территории Республики Казахстан либо о том, что такой продавец не является официальным представителем либо о том, что поставка такого товара будет рассматриваться производителем как серый импорт и оборудование будет снято с гарантии </w:t>
            </w:r>
            <w:r w:rsidRPr="002142C2">
              <w:rPr>
                <w:rFonts w:ascii="Times New Roman" w:hAnsi="Times New Roman" w:cs="Times New Roman"/>
                <w:lang w:val="kk-KZ"/>
              </w:rPr>
              <w:t>не являются основанием для отклонения заявок поставщиков</w:t>
            </w:r>
            <w:r w:rsidRPr="002142C2">
              <w:rPr>
                <w:rFonts w:ascii="Times New Roman" w:hAnsi="Times New Roman" w:cs="Times New Roman"/>
              </w:rPr>
              <w:t xml:space="preserve">, и как следствие, организации несут риски приобретения контрафактного товара. </w:t>
            </w:r>
          </w:p>
          <w:p w14:paraId="3CCFD8E9" w14:textId="737C7A17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Данные предложения направлены сразу несколькими организациями Фонда в связи с тем, что данные проблемы являются повсеместными.</w:t>
            </w:r>
          </w:p>
          <w:p w14:paraId="6AECC1B8" w14:textId="77777777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7E3D830" w14:textId="4D5626A9" w:rsidR="00A96DCF" w:rsidRPr="002142C2" w:rsidRDefault="00A96DCF" w:rsidP="007151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При этом, в целях оказания поддержки отечественным товаропроизводителям предлагается ограничить требование об указании потенциальным поставщиком марки</w:t>
            </w:r>
            <w:r w:rsidRPr="002142C2">
              <w:rPr>
                <w:rFonts w:ascii="Times New Roman" w:hAnsi="Times New Roman" w:cs="Times New Roman"/>
              </w:rPr>
              <w:t>/</w:t>
            </w:r>
            <w:r w:rsidRPr="002142C2">
              <w:rPr>
                <w:rFonts w:ascii="Times New Roman" w:hAnsi="Times New Roman" w:cs="Times New Roman"/>
                <w:lang w:val="kk-KZ"/>
              </w:rPr>
              <w:t xml:space="preserve">модели предлагаемого к поставке товара при закупках </w:t>
            </w: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>среди товаропроизводителей и</w:t>
            </w:r>
            <w:r w:rsidRPr="002142C2">
              <w:rPr>
                <w:rFonts w:ascii="Times New Roman" w:hAnsi="Times New Roman" w:cs="Times New Roman"/>
              </w:rPr>
              <w:t xml:space="preserve"> организаций-инвалидов.</w:t>
            </w:r>
          </w:p>
        </w:tc>
        <w:tc>
          <w:tcPr>
            <w:tcW w:w="834" w:type="pct"/>
          </w:tcPr>
          <w:p w14:paraId="43CB5757" w14:textId="77777777" w:rsidR="00A96DCF" w:rsidRPr="002142C2" w:rsidRDefault="00A96DCF" w:rsidP="007151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7CCED170" w14:textId="77777777" w:rsidR="00A96DCF" w:rsidRPr="002142C2" w:rsidRDefault="00A96DCF" w:rsidP="007151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512CC842" w14:textId="13F04699" w:rsidTr="005A45C1">
        <w:tc>
          <w:tcPr>
            <w:tcW w:w="132" w:type="pct"/>
          </w:tcPr>
          <w:p w14:paraId="153959EF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543BF58C" w14:textId="77777777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  <w:t>П.7 ст.40</w:t>
            </w:r>
          </w:p>
        </w:tc>
        <w:tc>
          <w:tcPr>
            <w:tcW w:w="1017" w:type="pct"/>
          </w:tcPr>
          <w:p w14:paraId="1B47DFE4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7.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Отказ в приеме тендерной заявки веб-порталом закупок производится в случаях:</w:t>
            </w:r>
          </w:p>
          <w:p w14:paraId="2F64F41D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1)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подачи потенциальным поставщиком ценового предложения, выраженного в тенге, превышающего сумму, выделенную для закупки;</w:t>
            </w:r>
          </w:p>
          <w:p w14:paraId="4EF5BE8C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2)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подачи потенциальным поставщиком тендерной заявки после наступления даты и времени вскрытия;</w:t>
            </w:r>
          </w:p>
          <w:p w14:paraId="449BDBAC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3)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подачи тендерной заявки потенциальным поставщиком, состоящим в перечне(</w:t>
            </w:r>
            <w:proofErr w:type="spellStart"/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ях</w:t>
            </w:r>
            <w:proofErr w:type="spellEnd"/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), указанном(</w:t>
            </w:r>
            <w:proofErr w:type="spellStart"/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) в подпункте 1) пункта 1 статьи 31 Порядка;</w:t>
            </w:r>
          </w:p>
          <w:p w14:paraId="2A473505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подачи тендерной заявки потенциальным поставщиком, не являющимся товаропроизводителем (в случае, указанном в подпункте 1) пункта 4 статьи 35 Порядка) или не состоящим в Реестре ОИН (в случае, указанном в подпункте 2) пункта 4 статьи 35 Порядка);</w:t>
            </w:r>
          </w:p>
          <w:p w14:paraId="08C9CB00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5)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подачи тендерной заявки потенциальным поставщиком, несоответствующим требованиям по финансовой устойчивости потенциального поставщика (в случае установления данных 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требований в тендерной документации).</w:t>
            </w:r>
          </w:p>
          <w:p w14:paraId="74E43D18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Настоящий подпункт не распространяется на потенциальных поставщиков-нерезидентов.</w:t>
            </w:r>
          </w:p>
          <w:p w14:paraId="407D6BBC" w14:textId="47ABCC86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Отсутствует</w:t>
            </w:r>
          </w:p>
        </w:tc>
        <w:tc>
          <w:tcPr>
            <w:tcW w:w="1053" w:type="pct"/>
          </w:tcPr>
          <w:p w14:paraId="269ACFA2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lastRenderedPageBreak/>
              <w:t>Пункт 7 статьи 40 дополнить подпунктом 6) следующего содержания:</w:t>
            </w:r>
          </w:p>
          <w:p w14:paraId="1C1C4681" w14:textId="6826DF31" w:rsidR="00A96DCF" w:rsidRPr="002142C2" w:rsidRDefault="00A96DCF" w:rsidP="00792A37">
            <w:pPr>
              <w:pStyle w:val="a5"/>
              <w:widowControl w:val="0"/>
              <w:tabs>
                <w:tab w:val="left" w:pos="851"/>
                <w:tab w:val="num" w:pos="1312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6) подачи тендерной заявки, не содержащей обеспечение тендерной заявки (в случае, если тендерной документацией требуется внесение обеспечения тендерной заявки).</w:t>
            </w:r>
          </w:p>
        </w:tc>
        <w:tc>
          <w:tcPr>
            <w:tcW w:w="965" w:type="pct"/>
          </w:tcPr>
          <w:p w14:paraId="0F0F8FF6" w14:textId="77777777" w:rsidR="00A96DCF" w:rsidRPr="002142C2" w:rsidRDefault="00A96DCF" w:rsidP="006E11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Данное изменение позволит веб-порталу закупок в автоматическом режиме осуществлять отказ в приеме тендерных заявок, не содержащих обеспечение, что позволит ограничить участие недобросовестных поставщиков, подающих пустые заявки.</w:t>
            </w:r>
          </w:p>
          <w:p w14:paraId="63128AF6" w14:textId="77777777" w:rsidR="00A96DCF" w:rsidRPr="002142C2" w:rsidRDefault="00A96DCF" w:rsidP="006E11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К примеру, имеются факты, когда недобросовестные потенциальные поставщики подают пустые заявки с высокой ценой с целью увеличения порога демпинга для ограничения конкурентной среды.</w:t>
            </w:r>
          </w:p>
          <w:p w14:paraId="03C995BD" w14:textId="393770FB" w:rsidR="00A96DCF" w:rsidRPr="002142C2" w:rsidRDefault="00A96DCF" w:rsidP="001126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Данная мера в том числе способствует решению данной проблемы.</w:t>
            </w:r>
          </w:p>
        </w:tc>
        <w:tc>
          <w:tcPr>
            <w:tcW w:w="834" w:type="pct"/>
          </w:tcPr>
          <w:p w14:paraId="325074B3" w14:textId="77777777" w:rsidR="00A96DCF" w:rsidRPr="002142C2" w:rsidRDefault="00A96DCF" w:rsidP="001126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03D10612" w14:textId="77777777" w:rsidR="00A96DCF" w:rsidRPr="002142C2" w:rsidRDefault="00A96DCF" w:rsidP="001126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2016D32B" w14:textId="079FCF12" w:rsidTr="005A45C1">
        <w:tc>
          <w:tcPr>
            <w:tcW w:w="132" w:type="pct"/>
          </w:tcPr>
          <w:p w14:paraId="3E0B6C56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5747E958" w14:textId="77777777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kk-KZ"/>
              </w:rPr>
              <w:t>П.10 ст.42</w:t>
            </w:r>
          </w:p>
        </w:tc>
        <w:tc>
          <w:tcPr>
            <w:tcW w:w="1017" w:type="pct"/>
          </w:tcPr>
          <w:p w14:paraId="7CCFC775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10.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Ценовое предложение признается демпинговым в следующих случаях:</w:t>
            </w:r>
          </w:p>
          <w:p w14:paraId="59167EB3" w14:textId="449EF27A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………………………</w:t>
            </w:r>
          </w:p>
          <w:p w14:paraId="319280FC" w14:textId="5977842C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ценовое предложение на товары признаётся демпинговым, если оно более чем на 15 (пятнадцать) процентов</w:t>
            </w: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ниже суммы, предусмотренной для закупки в плане закупок без учета НДС;</w:t>
            </w:r>
          </w:p>
          <w:p w14:paraId="5C6B1B10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5)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ценовое предложение на товары, работы, услуги, закупаемые в рамках принятия мер по сохранению и (или) восстановлению стабильности социальной обстановки, включенные в перечень, утвержденный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ПК – </w:t>
            </w: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не более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10 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(десяти) процентов ниже суммы, предусмотренной для закупки в плане закупок без учета НДС;</w:t>
            </w:r>
          </w:p>
          <w:p w14:paraId="05000D29" w14:textId="34C559A0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3" w:type="pct"/>
          </w:tcPr>
          <w:p w14:paraId="0949BA15" w14:textId="1F2C98A1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lastRenderedPageBreak/>
              <w:t xml:space="preserve">Подпункт </w:t>
            </w: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4) пункта 10 статьи 42 изложить в следующей редакции:</w:t>
            </w:r>
          </w:p>
          <w:p w14:paraId="1F6E603A" w14:textId="2C1B049A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ценовое предложение на товары признаётся демпинговым, если оно более чем на 15 (пятнадцать) процентов </w:t>
            </w: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ниже среднеарифметической цены всех представленных ценовых предложений, не превышающих сумму, предусмотренную для закупки в плане закупок без учета НДС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14:paraId="570F818D" w14:textId="77777777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E718B38" w14:textId="64139D01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Подпункт 5) пункта 10 статьи 42 изложить в следующей редакции:</w:t>
            </w:r>
          </w:p>
          <w:p w14:paraId="40436973" w14:textId="2E0B7F4C" w:rsidR="00A96DCF" w:rsidRPr="002142C2" w:rsidRDefault="00A96DCF" w:rsidP="00792A37">
            <w:pPr>
              <w:widowControl w:val="0"/>
              <w:tabs>
                <w:tab w:val="num" w:pos="709"/>
                <w:tab w:val="left" w:pos="85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>5)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ценовое предложение на товары, работы, услуги, закупаемые в рамках принятия мер по сохранению и (или) восстановлению стабильности социальной обстановки, включенные в перечень, утвержденный коллегиальным исполнительным органом/наблюдательным советом (в случае отсутствия коллегиального исполнительного 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органа/наблюдательного совета органом управления/высшим органом (общее собрание участников) ПК – </w:t>
            </w:r>
            <w:r w:rsidRPr="002142C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более</w:t>
            </w:r>
            <w:r w:rsidRPr="002142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10 (десяти) процентов ниже суммы, предусмотренной для закупки в плане закупок без учета НДС;</w:t>
            </w:r>
          </w:p>
        </w:tc>
        <w:tc>
          <w:tcPr>
            <w:tcW w:w="965" w:type="pct"/>
          </w:tcPr>
          <w:p w14:paraId="6DF0568C" w14:textId="027D184E" w:rsidR="00A96DCF" w:rsidRPr="002142C2" w:rsidRDefault="00A96DCF" w:rsidP="007E01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По предложению Агентства по защите и развитию конкуренции предлагается рассчитывать порог демпинга при закупках товаров способом тендера от среднеарифметической цены всех представленных ценовых предложений в целях обеспечения добросовестной конкуренции среди потенциальных поставщиков.</w:t>
            </w:r>
          </w:p>
          <w:p w14:paraId="59498792" w14:textId="77777777" w:rsidR="00A96DCF" w:rsidRPr="002142C2" w:rsidRDefault="00A96DCF" w:rsidP="00AC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настоящее время порогом демпинга является 15% от суммы, выделенной для закупки.</w:t>
            </w:r>
          </w:p>
          <w:p w14:paraId="75312842" w14:textId="6E2FA477" w:rsidR="00A96DCF" w:rsidRPr="002142C2" w:rsidRDefault="00A96DCF" w:rsidP="00AC5F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</w:rPr>
              <w:t>Также предлагается внести редакционную правку в подпункт 5) данного пункта.</w:t>
            </w:r>
          </w:p>
        </w:tc>
        <w:tc>
          <w:tcPr>
            <w:tcW w:w="834" w:type="pct"/>
          </w:tcPr>
          <w:p w14:paraId="7FFD1678" w14:textId="77777777" w:rsidR="00A96DCF" w:rsidRPr="002142C2" w:rsidRDefault="00A96DCF" w:rsidP="00AC5F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pct"/>
          </w:tcPr>
          <w:p w14:paraId="18D7A41B" w14:textId="77777777" w:rsidR="00A96DCF" w:rsidRPr="002142C2" w:rsidRDefault="00A96DCF" w:rsidP="00AC5F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96DCF" w:rsidRPr="002142C2" w14:paraId="01A091AE" w14:textId="2C97B236" w:rsidTr="005A45C1">
        <w:tc>
          <w:tcPr>
            <w:tcW w:w="132" w:type="pct"/>
          </w:tcPr>
          <w:p w14:paraId="65A45E9D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6DCE98C8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П.7 ст.43</w:t>
            </w:r>
          </w:p>
        </w:tc>
        <w:tc>
          <w:tcPr>
            <w:tcW w:w="1017" w:type="pct"/>
          </w:tcPr>
          <w:p w14:paraId="29C81224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Требование о представлении Заказчику обеспечения исполнения договора не распространяется на:</w:t>
            </w:r>
          </w:p>
          <w:p w14:paraId="7B6CAEB0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Фонд и организации Фонда;</w:t>
            </w:r>
          </w:p>
          <w:p w14:paraId="13769E4F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организации инвалидов (физические лица – инвалиды, осуществляющие предпринимательскую деятельность);</w:t>
            </w:r>
          </w:p>
          <w:p w14:paraId="48A406A7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товаропроизводителей закупаемого товара (товаропроизводителей товаров, однородных с закупаемыми, на основании заявления (декларации), указанной в пункте 18 Приложения № 6 к Порядку);</w:t>
            </w:r>
          </w:p>
          <w:p w14:paraId="57A01938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случаи, когда иное предусмотрено закупочной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категорийной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стратегией, утвержденной на уровне Фонда.</w:t>
            </w:r>
          </w:p>
          <w:p w14:paraId="33F47068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Положения настоящего пункта не распространяются на консорциумы (за исключением, если иное не предусмотрено закупочной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категорийной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стратегией, утвержденной на уровне Фонда).</w:t>
            </w:r>
          </w:p>
          <w:p w14:paraId="4389114F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3" w:type="pct"/>
          </w:tcPr>
          <w:p w14:paraId="0531714E" w14:textId="6188ED38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Подпункт 3) пункта 7 статьи 43 изложить в следующей редакции:</w:t>
            </w:r>
          </w:p>
          <w:p w14:paraId="04EEC29A" w14:textId="14CC85B0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товаропроизводителей закупаемого товара (товаропроизводителей товаров, однородных с закупаемыми, на основании заявления (декларации), указанной в пункте 18 Приложения № 6 к Порядку,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которое может быть представлено только при закупках среди товаропроизводителей закупаемого товара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</w:tc>
        <w:tc>
          <w:tcPr>
            <w:tcW w:w="965" w:type="pct"/>
          </w:tcPr>
          <w:p w14:paraId="6CC0EE66" w14:textId="56247828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 xml:space="preserve">Уточняющая правка в связи с тем, что на практике участились случаи, когда товаропроизводитель, не производящий закупаемый товар, участвуя в закупках на общих основаниях прикладывает декларацию в целях </w:t>
            </w:r>
            <w:proofErr w:type="gramStart"/>
            <w:r w:rsidRPr="002142C2">
              <w:rPr>
                <w:rFonts w:ascii="Times New Roman" w:hAnsi="Times New Roman" w:cs="Times New Roman"/>
                <w:bCs/>
                <w:color w:val="000000"/>
              </w:rPr>
              <w:t>не внесения</w:t>
            </w:r>
            <w:proofErr w:type="gramEnd"/>
            <w:r w:rsidRPr="002142C2">
              <w:rPr>
                <w:rFonts w:ascii="Times New Roman" w:hAnsi="Times New Roman" w:cs="Times New Roman"/>
                <w:bCs/>
                <w:color w:val="000000"/>
              </w:rPr>
              <w:t xml:space="preserve"> обеспечения.</w:t>
            </w:r>
          </w:p>
          <w:p w14:paraId="56AC3B20" w14:textId="40869E24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При этом, согласно пункту 18 Приложения № 6 к Порядку, данный документ предоставляется только при закупках среди товаропроизводителей закупаемого товара.</w:t>
            </w:r>
          </w:p>
        </w:tc>
        <w:tc>
          <w:tcPr>
            <w:tcW w:w="834" w:type="pct"/>
          </w:tcPr>
          <w:p w14:paraId="1FB9C8DF" w14:textId="77777777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1" w:type="pct"/>
          </w:tcPr>
          <w:p w14:paraId="529C8B45" w14:textId="77777777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96DCF" w:rsidRPr="002142C2" w14:paraId="74CDDEC4" w14:textId="20570DBC" w:rsidTr="005A45C1">
        <w:tc>
          <w:tcPr>
            <w:tcW w:w="132" w:type="pct"/>
          </w:tcPr>
          <w:p w14:paraId="080180E1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3CB9E1DA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П.8 ст.43</w:t>
            </w:r>
          </w:p>
        </w:tc>
        <w:tc>
          <w:tcPr>
            <w:tcW w:w="1017" w:type="pct"/>
          </w:tcPr>
          <w:p w14:paraId="421A2A52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Требование о представлении Заказчику обеспечения возврата аванса (предоплаты) не распространяется на:</w:t>
            </w:r>
          </w:p>
          <w:p w14:paraId="00D65DEA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Фонд и организации Фонда;</w:t>
            </w:r>
          </w:p>
          <w:p w14:paraId="3ADD907B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организации инвалидов (физические лица – инвалиды, осуществляющие предпринимательскую деятельность), производящие закупаемый товар;</w:t>
            </w:r>
          </w:p>
          <w:p w14:paraId="60FC9A8C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товаропроизводителей закупаемого товара (товаропроизводителей товаров, однородных с закупаемыми, на основании заявления (декларации), указанной в пункте 18 Приложения № 6 к Порядку);</w:t>
            </w:r>
          </w:p>
          <w:p w14:paraId="55C1C653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случаи, когда предметом закупок являются услуги страхования, работы по строительству газоперерабатывающего завода, твердое топливо, электрическая энергия или горюче-смазочные материалы (по решению Заказчика);</w:t>
            </w:r>
          </w:p>
          <w:p w14:paraId="05E2335A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случаи, когда иное предусмотрено закупочной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категорийной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стратегией.</w:t>
            </w:r>
          </w:p>
        </w:tc>
        <w:tc>
          <w:tcPr>
            <w:tcW w:w="1053" w:type="pct"/>
          </w:tcPr>
          <w:p w14:paraId="1AD03157" w14:textId="4B67E2E0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Подпункт 3) пункта 8 статьи 43 изложить в следующей редакции:</w:t>
            </w:r>
          </w:p>
          <w:p w14:paraId="51D8A4F6" w14:textId="5D016D6F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товаропроизводителей закупаемого товара (товаропроизводителей товаров, однородных с закупаемыми, на основании заявления (декларации), указанной в пункте 18 Приложения № 6 к Порядку,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которое может быть представлено только при закупках среди товаропроизводителей закупаемого товара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</w:tc>
        <w:tc>
          <w:tcPr>
            <w:tcW w:w="965" w:type="pct"/>
          </w:tcPr>
          <w:p w14:paraId="6AC5A736" w14:textId="77777777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 xml:space="preserve">Уточняющая правка в связи с тем, что на практике участились случаи, когда товаропроизводитель, не производящий закупаемый товар, участвуя в закупках на общих основаниях прикладывает декларацию в целях </w:t>
            </w:r>
            <w:proofErr w:type="gramStart"/>
            <w:r w:rsidRPr="002142C2">
              <w:rPr>
                <w:rFonts w:ascii="Times New Roman" w:hAnsi="Times New Roman" w:cs="Times New Roman"/>
                <w:bCs/>
                <w:color w:val="000000"/>
              </w:rPr>
              <w:t>не внесения</w:t>
            </w:r>
            <w:proofErr w:type="gramEnd"/>
            <w:r w:rsidRPr="002142C2">
              <w:rPr>
                <w:rFonts w:ascii="Times New Roman" w:hAnsi="Times New Roman" w:cs="Times New Roman"/>
                <w:bCs/>
                <w:color w:val="000000"/>
              </w:rPr>
              <w:t xml:space="preserve"> обеспечения.</w:t>
            </w:r>
          </w:p>
          <w:p w14:paraId="7F3D6414" w14:textId="3BACC392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При этом, согласно пункту 18 Приложения № 6 к Порядку, данный документ предоставляется только при закупках среди товаропроизводителей закупаемого товара.</w:t>
            </w:r>
          </w:p>
        </w:tc>
        <w:tc>
          <w:tcPr>
            <w:tcW w:w="834" w:type="pct"/>
          </w:tcPr>
          <w:p w14:paraId="21B42550" w14:textId="77777777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1" w:type="pct"/>
          </w:tcPr>
          <w:p w14:paraId="46B69CAB" w14:textId="77777777" w:rsidR="00A96DCF" w:rsidRPr="002142C2" w:rsidRDefault="00A96DCF" w:rsidP="009B256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96DCF" w:rsidRPr="002142C2" w14:paraId="313C3D57" w14:textId="5656C9F7" w:rsidTr="005A45C1">
        <w:tc>
          <w:tcPr>
            <w:tcW w:w="132" w:type="pct"/>
          </w:tcPr>
          <w:p w14:paraId="7EB0283C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4704785D" w14:textId="5A520865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П.1 ст.55</w:t>
            </w:r>
          </w:p>
        </w:tc>
        <w:tc>
          <w:tcPr>
            <w:tcW w:w="1017" w:type="pct"/>
          </w:tcPr>
          <w:p w14:paraId="118A574A" w14:textId="46D67726" w:rsidR="00A96DCF" w:rsidRPr="002142C2" w:rsidRDefault="00A96DCF" w:rsidP="000F6FB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1. Проведение закупки способом запроса ценовых предложений с ограниченным участием допускается в случае признания 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>закупок способом запроса ценовых предложений несостоявшимися в соответствии с подпунктами 1) и 3) пункта 2 статьи 53 Порядка.</w:t>
            </w:r>
          </w:p>
        </w:tc>
        <w:tc>
          <w:tcPr>
            <w:tcW w:w="1053" w:type="pct"/>
          </w:tcPr>
          <w:p w14:paraId="5E87F6F5" w14:textId="7777777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>1.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ab/>
              <w:t>Проведение закупки способом запроса ценовых предложений с ограниченным участием допускается в случае:</w:t>
            </w:r>
          </w:p>
          <w:p w14:paraId="4185341D" w14:textId="7777777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>1) признания закупок способом запроса ценовых предложений несостоявшимися в соответствии с подпунктами 1) и 3) пункта 2 статьи 53 Порядка;</w:t>
            </w:r>
          </w:p>
          <w:p w14:paraId="7A325F7D" w14:textId="571B9428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2) приобретения товаров, работ, услуг, если имеется необходимость в осуществлении закупок ежедневной и (или) еженедельной потребности (на период с даты объявления тендера и до заключения договора по итогам тендера) по перечню,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дочерней организации Фонда первого уровня/Фонда.</w:t>
            </w:r>
          </w:p>
          <w:p w14:paraId="79863B03" w14:textId="29DCA2AF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 xml:space="preserve">При этом не допускается приобретение товаров, работ и услуг ежедневной и (или) еженедельной потребности на сумму более 1/4 от суммы, предусмотренной планом закупок на приобретение данных товаров, работ и услуг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 xml:space="preserve">на год, определенный для осуществления закупки. </w:t>
            </w:r>
          </w:p>
          <w:p w14:paraId="7767A456" w14:textId="7777777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Если закупки осуществляются в течение первого месяца года, настоящий подпункт применяется в случае отказа поставщика на продление действия ранее заключенного договора о закупках.</w:t>
            </w:r>
          </w:p>
          <w:p w14:paraId="7C498184" w14:textId="7777777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При расчете порогового значения, предусмотренного абзацем вторым настоящего подпункта, сумма, на которую увеличивается сумма договора о закупках в соответствии с подпунктом 17) пункта 1 статьи 65 Порядка, не учитывается;</w:t>
            </w:r>
          </w:p>
          <w:p w14:paraId="03435AA6" w14:textId="2C8F592D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Ограничение, предусмотренное подпунктом 1) пункта 1 статьи 49 Порядка, не распространяется на закупки согласно настоящему подпункту.</w:t>
            </w:r>
          </w:p>
        </w:tc>
        <w:tc>
          <w:tcPr>
            <w:tcW w:w="965" w:type="pct"/>
          </w:tcPr>
          <w:p w14:paraId="3F1A9A57" w14:textId="71C79C3B" w:rsidR="00A96DCF" w:rsidRPr="002142C2" w:rsidRDefault="00A96DCF" w:rsidP="001713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 xml:space="preserve">В целях повышения прозрачности процесса закупок предлагается исключить закупки </w:t>
            </w:r>
            <w:r w:rsidRPr="002142C2">
              <w:rPr>
                <w:rFonts w:ascii="Times New Roman" w:hAnsi="Times New Roman" w:cs="Times New Roman"/>
              </w:rPr>
              <w:lastRenderedPageBreak/>
              <w:t>ежедневной или еженедельной потребности, необходимой до подведения итогов тендера, из закупок способом из одного источника.</w:t>
            </w:r>
          </w:p>
          <w:p w14:paraId="11C16751" w14:textId="263BFC5D" w:rsidR="00A96DCF" w:rsidRPr="002142C2" w:rsidRDefault="00A96DCF" w:rsidP="001713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Выбор поставщика при осуществлении данных закупок является непрозрачным, в связи с тем, что процедура выбора поставщика осуществляется вне веб-портала закупок (на портале оформляется приказ о закупке из одного источника и загружается копия заключенного договора).</w:t>
            </w:r>
          </w:p>
          <w:p w14:paraId="0324FC8D" w14:textId="77777777" w:rsidR="00A96DCF" w:rsidRPr="002142C2" w:rsidRDefault="00A96DCF" w:rsidP="001713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целях обеспечения прозрачности процесса предлагается осуществлять данные закупки способом запроса ценовых предложений с ограниченным участием на веб-портале закупок.</w:t>
            </w:r>
          </w:p>
          <w:p w14:paraId="004BF4D0" w14:textId="53556D80" w:rsidR="00A96DCF" w:rsidRPr="002142C2" w:rsidRDefault="00A96DCF" w:rsidP="001713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При этом, веб-портал закупок будет автоматически направлять приглашение для участия в закупках потенциальным поставщикам, включенным в список потенциальных поставщиков для участия в закупках, который должен содержать не менее 3 потенциальных поставщиков.</w:t>
            </w:r>
          </w:p>
          <w:p w14:paraId="38116F82" w14:textId="77777777" w:rsidR="00A96DCF" w:rsidRPr="002142C2" w:rsidRDefault="00A96DCF" w:rsidP="001713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Выбор победителя будет осуществляться веб-порталом </w:t>
            </w:r>
            <w:r w:rsidRPr="002142C2">
              <w:rPr>
                <w:rFonts w:ascii="Times New Roman" w:hAnsi="Times New Roman" w:cs="Times New Roman"/>
              </w:rPr>
              <w:lastRenderedPageBreak/>
              <w:t>закупок автоматически на основе наименьшего представленного ценового предложения.</w:t>
            </w:r>
          </w:p>
          <w:p w14:paraId="49F93E96" w14:textId="2573C418" w:rsidR="00A96DCF" w:rsidRPr="002142C2" w:rsidRDefault="00A96DCF" w:rsidP="00F83E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42C2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: сумма закупок по данному основанию из одного источника по итогам 2023 года составила 100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млрд.тг</w:t>
            </w:r>
            <w:proofErr w:type="spellEnd"/>
            <w:r w:rsidRPr="00214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pct"/>
          </w:tcPr>
          <w:p w14:paraId="16DDDB9E" w14:textId="77777777" w:rsidR="00A96DCF" w:rsidRPr="002142C2" w:rsidRDefault="00A96DCF" w:rsidP="00F83E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5A8EFAC5" w14:textId="77777777" w:rsidR="00A96DCF" w:rsidRPr="002142C2" w:rsidRDefault="00A96DCF" w:rsidP="00F83E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4B0EA6E9" w14:textId="6A000F28" w:rsidTr="005A45C1">
        <w:trPr>
          <w:trHeight w:val="771"/>
        </w:trPr>
        <w:tc>
          <w:tcPr>
            <w:tcW w:w="132" w:type="pct"/>
          </w:tcPr>
          <w:p w14:paraId="15126C73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7ED73FB4" w14:textId="6E37B931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П.2 ст.55</w:t>
            </w:r>
          </w:p>
        </w:tc>
        <w:tc>
          <w:tcPr>
            <w:tcW w:w="1017" w:type="pct"/>
          </w:tcPr>
          <w:p w14:paraId="22B3EAFB" w14:textId="68B4A62E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2. Процедура закупок запросом ценовых предложений с ограниченным участием аналогична процедуре закупок способом запроса ценовых предложений, за исключением особенностей, указанных в пунктах 3-12 настоящей статьи.</w:t>
            </w:r>
          </w:p>
        </w:tc>
        <w:tc>
          <w:tcPr>
            <w:tcW w:w="1053" w:type="pct"/>
          </w:tcPr>
          <w:p w14:paraId="045999B3" w14:textId="45ECE109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2.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В случае, указанном в подпункте 1) пункта 1 настоящей статьи,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процедура закупок запросом ценовых предложений с ограниченным участием аналогична процедуре закупок способом запроса ценовых предложений, за исключением особенностей, указанных в пунктах 3-12 настоящей статьи.</w:t>
            </w:r>
          </w:p>
          <w:p w14:paraId="6B4A6C22" w14:textId="6DC508C4" w:rsidR="00A96DCF" w:rsidRPr="002142C2" w:rsidRDefault="00A96DCF" w:rsidP="007E7B1F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 xml:space="preserve">В случае, указанному в подпункте 2) пункта 1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настоящей статьи, процедура закупок запросом ценовых предложений с ограниченным участием аналогична процедуре закупок способом запроса ценовых предложений, за исключением особенностей, указанных в пунктах 3, 4, 11-15 настоящей статьи.</w:t>
            </w:r>
          </w:p>
        </w:tc>
        <w:tc>
          <w:tcPr>
            <w:tcW w:w="965" w:type="pct"/>
          </w:tcPr>
          <w:p w14:paraId="21234319" w14:textId="683AB82F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>Обоснование указано в предыдущем пункте сравнительной таблицы.</w:t>
            </w:r>
          </w:p>
        </w:tc>
        <w:tc>
          <w:tcPr>
            <w:tcW w:w="834" w:type="pct"/>
          </w:tcPr>
          <w:p w14:paraId="632F8427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</w:tcPr>
          <w:p w14:paraId="1F525616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6DCF" w:rsidRPr="002142C2" w14:paraId="07586346" w14:textId="0A8CCA48" w:rsidTr="005A45C1">
        <w:trPr>
          <w:trHeight w:val="771"/>
        </w:trPr>
        <w:tc>
          <w:tcPr>
            <w:tcW w:w="132" w:type="pct"/>
          </w:tcPr>
          <w:p w14:paraId="74BD0BC7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1379CB0E" w14:textId="62221556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П.4 ст.55</w:t>
            </w:r>
          </w:p>
        </w:tc>
        <w:tc>
          <w:tcPr>
            <w:tcW w:w="1017" w:type="pct"/>
          </w:tcPr>
          <w:p w14:paraId="498DBE9E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4.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ab/>
              <w:t>Для проведения закупки способом запроса ценовых предложений с ограниченным участием Заказчик/организатор закупок утверждает на веб-портале список потенциальных поставщиков для участия в закупках.</w:t>
            </w:r>
          </w:p>
          <w:p w14:paraId="426F9201" w14:textId="2206AC46" w:rsidR="00A96DCF" w:rsidRPr="002142C2" w:rsidRDefault="00A96DCF" w:rsidP="007E7B1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Список потенциальных поставщиков должен состоять не менее чем из 2 (двух) потенциальных поставщиков, за исключением случаев, указанных в пункте 5 настоящей статьи.</w:t>
            </w:r>
          </w:p>
        </w:tc>
        <w:tc>
          <w:tcPr>
            <w:tcW w:w="1053" w:type="pct"/>
          </w:tcPr>
          <w:p w14:paraId="2C02CB56" w14:textId="2FF5C4B2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Абзац второй пункта 4 статьи 55 изложить в следующей редакции:</w:t>
            </w:r>
          </w:p>
          <w:p w14:paraId="4D4119DD" w14:textId="294BFE7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Список потенциальных поставщиков должен состоять не менее чем из 2 (двух) потенциальных поставщиков, за исключением случаев, указанных в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пунктах 13 и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5 настоящей статьи.</w:t>
            </w:r>
          </w:p>
        </w:tc>
        <w:tc>
          <w:tcPr>
            <w:tcW w:w="965" w:type="pct"/>
          </w:tcPr>
          <w:p w14:paraId="558A0388" w14:textId="2D8366F8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 xml:space="preserve">Обоснование указано в пункте </w:t>
            </w:r>
            <w:r w:rsidRPr="002142C2">
              <w:rPr>
                <w:rFonts w:ascii="Times New Roman" w:hAnsi="Times New Roman" w:cs="Times New Roman"/>
              </w:rPr>
              <w:t>1</w:t>
            </w:r>
            <w:r w:rsidRPr="002142C2">
              <w:rPr>
                <w:rFonts w:ascii="Times New Roman" w:hAnsi="Times New Roman" w:cs="Times New Roman"/>
                <w:lang w:val="kk-KZ"/>
              </w:rPr>
              <w:t>4</w:t>
            </w:r>
            <w:r w:rsidRPr="002142C2">
              <w:rPr>
                <w:rFonts w:ascii="Times New Roman" w:hAnsi="Times New Roman" w:cs="Times New Roman"/>
              </w:rPr>
              <w:t xml:space="preserve"> сравнительной таблицы.</w:t>
            </w:r>
          </w:p>
        </w:tc>
        <w:tc>
          <w:tcPr>
            <w:tcW w:w="834" w:type="pct"/>
          </w:tcPr>
          <w:p w14:paraId="350BEA9C" w14:textId="77777777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5638F416" w14:textId="77777777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012E5640" w14:textId="4B674F70" w:rsidTr="005A45C1">
        <w:trPr>
          <w:trHeight w:val="771"/>
        </w:trPr>
        <w:tc>
          <w:tcPr>
            <w:tcW w:w="132" w:type="pct"/>
          </w:tcPr>
          <w:p w14:paraId="03FC2C43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7C3AB28B" w14:textId="396FCF55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П.6 ст.55</w:t>
            </w:r>
          </w:p>
        </w:tc>
        <w:tc>
          <w:tcPr>
            <w:tcW w:w="1017" w:type="pct"/>
          </w:tcPr>
          <w:p w14:paraId="72E08524" w14:textId="21246E82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6.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ab/>
              <w:t>Объявление для закупок способом запроса ценовых предложений с ограниченным участием формируется на основе объявления о закупках способом запроса ценовых предложений повторных закупок, признанных несостоявшимися, с учетом особенностей, предусмотренных пунктами 7 – 12 настоящей статьи.</w:t>
            </w:r>
          </w:p>
        </w:tc>
        <w:tc>
          <w:tcPr>
            <w:tcW w:w="1053" w:type="pct"/>
          </w:tcPr>
          <w:p w14:paraId="5EAD6AB8" w14:textId="77777777" w:rsidR="00A96DCF" w:rsidRPr="002142C2" w:rsidRDefault="00A96DCF" w:rsidP="008970DF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Пункт 6 статьи 55 изложить в следующей редакции:</w:t>
            </w:r>
          </w:p>
          <w:p w14:paraId="2A609FA7" w14:textId="282997B3" w:rsidR="00A96DCF" w:rsidRPr="002142C2" w:rsidRDefault="00A96DCF" w:rsidP="008970DF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6.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ab/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  <w:lang w:val="kk-KZ"/>
              </w:rPr>
              <w:t>В случае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, указанном в подпункте 1) пункта 1 настоящей статьи,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объявление для закупок способом запроса ценовых предложений с ограниченным участием формируется на основе объявления о закупках способом запроса ценовых предложений закупок, признанных 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>несостоявшимися, с учетом особенностей, предусмотренных пунктами 7 – 12 настоящей статьи.</w:t>
            </w:r>
          </w:p>
        </w:tc>
        <w:tc>
          <w:tcPr>
            <w:tcW w:w="965" w:type="pct"/>
          </w:tcPr>
          <w:p w14:paraId="57D9A0F5" w14:textId="3CDA4273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 xml:space="preserve">Обоснование указано в пункте </w:t>
            </w:r>
            <w:r w:rsidRPr="002142C2">
              <w:rPr>
                <w:rFonts w:ascii="Times New Roman" w:hAnsi="Times New Roman" w:cs="Times New Roman"/>
              </w:rPr>
              <w:t>14 сравнительной таблицы.</w:t>
            </w:r>
          </w:p>
        </w:tc>
        <w:tc>
          <w:tcPr>
            <w:tcW w:w="834" w:type="pct"/>
          </w:tcPr>
          <w:p w14:paraId="5D887F6D" w14:textId="77777777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</w:tcPr>
          <w:p w14:paraId="555F694E" w14:textId="77777777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6DCF" w:rsidRPr="002142C2" w14:paraId="3F2CE23A" w14:textId="013F77FF" w:rsidTr="005A45C1">
        <w:trPr>
          <w:trHeight w:val="771"/>
        </w:trPr>
        <w:tc>
          <w:tcPr>
            <w:tcW w:w="132" w:type="pct"/>
          </w:tcPr>
          <w:p w14:paraId="60D7E56C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558943E3" w14:textId="1A76BE9E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ст.55</w:t>
            </w:r>
          </w:p>
        </w:tc>
        <w:tc>
          <w:tcPr>
            <w:tcW w:w="1017" w:type="pct"/>
          </w:tcPr>
          <w:p w14:paraId="0DFE4BA3" w14:textId="18588CDF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Отсутствует</w:t>
            </w:r>
          </w:p>
        </w:tc>
        <w:tc>
          <w:tcPr>
            <w:tcW w:w="1053" w:type="pct"/>
          </w:tcPr>
          <w:p w14:paraId="460AEA00" w14:textId="58344148" w:rsidR="00A96DCF" w:rsidRPr="002142C2" w:rsidRDefault="00A96DCF" w:rsidP="007E7B1F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Статью 55 дополнить пунктами 13, 14, 15 и 16 следующего содержания:</w:t>
            </w:r>
          </w:p>
          <w:p w14:paraId="263C8D7F" w14:textId="52018D22" w:rsidR="00A96DCF" w:rsidRPr="002142C2" w:rsidRDefault="00A96DCF" w:rsidP="00374EDE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13. В случае, указанном в подпункте 2) пункта 1 настоящей статьи, в случае наличия одного и более товаропроизводителей закупаемого товара, первоначальная закупка осуществляется среди товаропроизводителей закупаемого товара.</w:t>
            </w:r>
          </w:p>
          <w:p w14:paraId="68AE3C20" w14:textId="7C0D0791" w:rsidR="00A96DCF" w:rsidRPr="002142C2" w:rsidRDefault="00A96DCF" w:rsidP="00E65696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В данном случае в список потенциальных поставщиков включаются все товаропроизводители закупаемого товара.</w:t>
            </w:r>
          </w:p>
          <w:p w14:paraId="4D8FE7FC" w14:textId="2C8BF904" w:rsidR="00A96DCF" w:rsidRPr="002142C2" w:rsidRDefault="00A96DCF" w:rsidP="007E7B1F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14. В случае, указанном в подпункте 2) пункта 1 настоящей статьи, объявление о закупках</w:t>
            </w:r>
            <w:r w:rsidRPr="002142C2">
              <w:rPr>
                <w:rFonts w:ascii="Times New Roman" w:eastAsia="Arial" w:hAnsi="Times New Roman" w:cs="Times New Roman"/>
                <w:color w:val="000000"/>
                <w:lang w:val="kk-KZ"/>
              </w:rPr>
              <w:t xml:space="preserve"> 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публикуется </w:t>
            </w:r>
            <w:r w:rsidRPr="002142C2">
              <w:rPr>
                <w:rFonts w:ascii="Times New Roman" w:eastAsia="Arial" w:hAnsi="Times New Roman" w:cs="Times New Roman"/>
                <w:color w:val="000000"/>
                <w:lang w:val="kk-KZ"/>
              </w:rPr>
              <w:t>на веб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>-портале закупок не менее чем за 2 (два) рабочих дня до даты вскрытия ценовых предложений.</w:t>
            </w:r>
          </w:p>
          <w:p w14:paraId="24C38BAF" w14:textId="77777777" w:rsidR="00A96DCF" w:rsidRPr="002142C2" w:rsidRDefault="00A96DCF" w:rsidP="007E7B1F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При этом объявление о закупках должно содержать:</w:t>
            </w:r>
          </w:p>
          <w:p w14:paraId="7B10BD79" w14:textId="1B29CF9B" w:rsidR="00A96DCF" w:rsidRPr="002142C2" w:rsidRDefault="00A96DCF" w:rsidP="007E7B1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наименование и характеристики закупаемых товаров, работ, услуг;</w:t>
            </w:r>
          </w:p>
          <w:p w14:paraId="7CD289F1" w14:textId="0060C31D" w:rsidR="00A96DCF" w:rsidRPr="002142C2" w:rsidRDefault="00A96DCF" w:rsidP="007E7B1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техническую спецификацию на закупаемые товары, работы, услуги (при необходимости);</w:t>
            </w:r>
          </w:p>
          <w:p w14:paraId="3402ECCB" w14:textId="580F8719" w:rsidR="00A96DCF" w:rsidRPr="002142C2" w:rsidRDefault="00A96DCF" w:rsidP="007E7B1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>сумму, выделенную для закупки, без учета НДС;</w:t>
            </w:r>
          </w:p>
          <w:p w14:paraId="6F430687" w14:textId="39952326" w:rsidR="00A96DCF" w:rsidRPr="002142C2" w:rsidRDefault="00A96DCF" w:rsidP="007E7B1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проект договора о закупках</w:t>
            </w:r>
            <w:r w:rsidRPr="002142C2">
              <w:rPr>
                <w:rFonts w:ascii="Times New Roman" w:eastAsia="Arial" w:hAnsi="Times New Roman" w:cs="Times New Roman"/>
                <w:color w:val="000000"/>
                <w:lang w:val="en-US"/>
              </w:rPr>
              <w:t>;</w:t>
            </w:r>
          </w:p>
          <w:p w14:paraId="27EADF8E" w14:textId="02C4C551" w:rsidR="00A96DCF" w:rsidRPr="002142C2" w:rsidRDefault="00A96DCF" w:rsidP="008970D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количество товара/объем выполняемых работ/объем оказываемых услуг;</w:t>
            </w:r>
          </w:p>
          <w:p w14:paraId="29724412" w14:textId="56CB0BCF" w:rsidR="00A96DCF" w:rsidRPr="002142C2" w:rsidRDefault="00A96DCF" w:rsidP="008970D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  <w:lang w:val="kk-KZ"/>
              </w:rPr>
              <w:t>у</w:t>
            </w:r>
            <w:proofErr w:type="spellStart"/>
            <w:r w:rsidRPr="002142C2">
              <w:rPr>
                <w:rFonts w:ascii="Times New Roman" w:eastAsia="Arial" w:hAnsi="Times New Roman" w:cs="Times New Roman"/>
                <w:color w:val="000000"/>
              </w:rPr>
              <w:t>словия</w:t>
            </w:r>
            <w:proofErr w:type="spellEnd"/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оплаты</w:t>
            </w:r>
            <w:r w:rsidRPr="002142C2">
              <w:rPr>
                <w:rFonts w:ascii="Times New Roman" w:eastAsia="Arial" w:hAnsi="Times New Roman" w:cs="Times New Roman"/>
                <w:color w:val="000000"/>
                <w:lang w:val="en-US"/>
              </w:rPr>
              <w:t>;</w:t>
            </w:r>
          </w:p>
          <w:p w14:paraId="795E60A0" w14:textId="77777777" w:rsidR="00A96DCF" w:rsidRPr="002142C2" w:rsidRDefault="00A96DCF" w:rsidP="008970D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условия, сроки и место поставки товара, оказания услуг, выполнения работ;</w:t>
            </w:r>
          </w:p>
          <w:p w14:paraId="42AEDFA7" w14:textId="34ADD66F" w:rsidR="00A96DCF" w:rsidRPr="002142C2" w:rsidRDefault="00A96DCF" w:rsidP="008970DF">
            <w:pPr>
              <w:pStyle w:val="a5"/>
              <w:numPr>
                <w:ilvl w:val="0"/>
                <w:numId w:val="13"/>
              </w:numPr>
              <w:tabs>
                <w:tab w:val="left" w:pos="319"/>
                <w:tab w:val="left" w:pos="494"/>
              </w:tabs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порядок и сроки предоставления ценовых предложений.</w:t>
            </w:r>
          </w:p>
          <w:p w14:paraId="01AA17D5" w14:textId="09DB5DF3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15.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ab/>
            </w:r>
            <w:proofErr w:type="gramStart"/>
            <w:r w:rsidRPr="002142C2">
              <w:rPr>
                <w:rFonts w:ascii="Times New Roman" w:eastAsia="Arial" w:hAnsi="Times New Roman" w:cs="Times New Roman"/>
                <w:color w:val="000000"/>
              </w:rPr>
              <w:t>В</w:t>
            </w:r>
            <w:proofErr w:type="gramEnd"/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 случае, указанном в подпункте 2) пункта 1 настоящей статьи, после публикации объявления о закупках веб-порталом закупок автоматически направляется приглашение к участию в закупках потенциальным поставщикам, включенным в список потенциальных поставщиков для участия в закупках.</w:t>
            </w:r>
          </w:p>
          <w:p w14:paraId="3FAFDF09" w14:textId="23D3015A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Потенциальные поставщики, получившие приглашения к участию в закупках, предоставляют ценовые предложения в срок до даты и времени вскрытия ценовых предложений.</w:t>
            </w:r>
          </w:p>
          <w:p w14:paraId="6E82B00E" w14:textId="77777777" w:rsidR="00A96DCF" w:rsidRPr="002142C2" w:rsidRDefault="00A96DCF" w:rsidP="00F75DDD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2142C2">
              <w:rPr>
                <w:rFonts w:ascii="Times New Roman" w:eastAsia="Arial" w:hAnsi="Times New Roman" w:cs="Times New Roman"/>
              </w:rPr>
              <w:t xml:space="preserve">Рассмотрение ценовых предложений, подведение и публикация итогов закупки осуществляется веб-порталом закупок автоматически по </w:t>
            </w:r>
            <w:r w:rsidRPr="002142C2">
              <w:rPr>
                <w:rFonts w:ascii="Times New Roman" w:eastAsia="Arial" w:hAnsi="Times New Roman" w:cs="Times New Roman"/>
              </w:rPr>
              <w:lastRenderedPageBreak/>
              <w:t>истечении срока представления ценовых предложений.</w:t>
            </w:r>
          </w:p>
          <w:p w14:paraId="7AE37019" w14:textId="6F33A233" w:rsidR="00A96DCF" w:rsidRPr="002142C2" w:rsidRDefault="00A96DCF" w:rsidP="00F75DDD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Победителем закупок способом запроса ценовых предложений с ограниченным участием признается потенциальный поставщик, предложивший наименьшее ценовое предложение.</w:t>
            </w:r>
          </w:p>
          <w:p w14:paraId="416D2505" w14:textId="05FAFA18" w:rsidR="00A96DCF" w:rsidRPr="002142C2" w:rsidRDefault="00A96DCF" w:rsidP="00F75DDD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Потенциальный поставщик, занявший второе место (в случае</w:t>
            </w:r>
            <w:r w:rsidRPr="002142C2">
              <w:rPr>
                <w:rFonts w:ascii="Times New Roman" w:hAnsi="Times New Roman" w:cs="Times New Roman"/>
                <w:lang w:val="kk-KZ"/>
              </w:rPr>
              <w:t xml:space="preserve"> наличия)</w:t>
            </w:r>
            <w:r w:rsidRPr="002142C2">
              <w:rPr>
                <w:rFonts w:ascii="Times New Roman" w:hAnsi="Times New Roman" w:cs="Times New Roman"/>
              </w:rPr>
              <w:t>, определяется на основе ценового предложения, следующего после наименьшего ценового предложения.</w:t>
            </w:r>
          </w:p>
          <w:p w14:paraId="6D6ED833" w14:textId="36965CA6" w:rsidR="00A96DCF" w:rsidRPr="002142C2" w:rsidRDefault="00A96DCF" w:rsidP="00F75DDD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При равенстве ценовых предложений победителем признается потенциальный поставщик, ранее предоставивший ценовое предложение.</w:t>
            </w:r>
          </w:p>
          <w:p w14:paraId="6FA85C77" w14:textId="454CA83F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965" w:type="pct"/>
          </w:tcPr>
          <w:p w14:paraId="28F04089" w14:textId="1613DD62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 xml:space="preserve">Обоснование указано в пункте </w:t>
            </w:r>
            <w:r w:rsidRPr="002142C2">
              <w:rPr>
                <w:rFonts w:ascii="Times New Roman" w:hAnsi="Times New Roman" w:cs="Times New Roman"/>
              </w:rPr>
              <w:t>14 сравнительной таблицы.</w:t>
            </w:r>
          </w:p>
        </w:tc>
        <w:tc>
          <w:tcPr>
            <w:tcW w:w="834" w:type="pct"/>
          </w:tcPr>
          <w:p w14:paraId="68293B34" w14:textId="77777777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</w:tcPr>
          <w:p w14:paraId="7AEB1201" w14:textId="77777777" w:rsidR="00A96DCF" w:rsidRPr="002142C2" w:rsidRDefault="00A96DCF" w:rsidP="000E70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6DCF" w:rsidRPr="002142C2" w14:paraId="43539797" w14:textId="16719568" w:rsidTr="005A45C1">
        <w:tc>
          <w:tcPr>
            <w:tcW w:w="132" w:type="pct"/>
          </w:tcPr>
          <w:p w14:paraId="440581F9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2257F457" w14:textId="2A9ADE8E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Пп.5) п.1 ст.59</w:t>
            </w:r>
          </w:p>
        </w:tc>
        <w:tc>
          <w:tcPr>
            <w:tcW w:w="1017" w:type="pct"/>
          </w:tcPr>
          <w:p w14:paraId="1EB9503D" w14:textId="124003E8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1.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ab/>
              <w:t>Заказчик вправе, а в случае, предусмотренном подпунктом 8) настоящего пункта, обязан осуществить закупки способом из одного источника на основании решения руководителя исполнительного органа заказчика или иного уполномоченного им лица в следующих случаях:</w:t>
            </w:r>
          </w:p>
          <w:p w14:paraId="3CE29A12" w14:textId="27EE7142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………………………</w:t>
            </w:r>
          </w:p>
          <w:p w14:paraId="23458101" w14:textId="1DEFC40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5)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ab/>
              <w:t xml:space="preserve">приобретение природного газа, воды, услуг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водоснабжения и тепловой энергии через присоединенную сеть, а также услуг отвода стоков (канализации);</w:t>
            </w:r>
          </w:p>
        </w:tc>
        <w:tc>
          <w:tcPr>
            <w:tcW w:w="1053" w:type="pct"/>
          </w:tcPr>
          <w:p w14:paraId="3C72BD35" w14:textId="03257F8B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Подпункт 5) пункта 1 статьи 59 исключить.</w:t>
            </w:r>
          </w:p>
        </w:tc>
        <w:tc>
          <w:tcPr>
            <w:tcW w:w="965" w:type="pct"/>
          </w:tcPr>
          <w:p w14:paraId="234FADA9" w14:textId="38882713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Предлагается перевести закупки коммунальных услуг из закупок способом из одного источника в закупки согласно Особому порядку по нижеследующим причинам.</w:t>
            </w:r>
          </w:p>
          <w:p w14:paraId="2AFFA67B" w14:textId="20B6E3D9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В соответствии с приказом Министра индустрии и инфраструктурного развития </w:t>
            </w:r>
            <w:r w:rsidRPr="002142C2">
              <w:rPr>
                <w:rFonts w:ascii="Times New Roman" w:hAnsi="Times New Roman" w:cs="Times New Roman"/>
                <w:lang w:val="kk-KZ"/>
              </w:rPr>
              <w:t xml:space="preserve">РК от 29 апреля 2020 года № 249, коммунальные услуги в числе других включают теплоснабжение, электроснабжение, </w:t>
            </w: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>водоснабжение, водоотведение и газоснабжение.</w:t>
            </w:r>
          </w:p>
          <w:p w14:paraId="2CA27E19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Данные коммунальные услуги предоставляются </w:t>
            </w:r>
            <w:r w:rsidRPr="002142C2">
              <w:rPr>
                <w:rFonts w:ascii="Times New Roman" w:hAnsi="Times New Roman" w:cs="Times New Roman"/>
                <w:u w:val="single"/>
              </w:rPr>
              <w:t>специализированными организациями</w:t>
            </w:r>
            <w:r w:rsidRPr="002142C2">
              <w:rPr>
                <w:rFonts w:ascii="Times New Roman" w:hAnsi="Times New Roman" w:cs="Times New Roman"/>
              </w:rPr>
              <w:t xml:space="preserve"> по утвержденным тарифам и оплачиваются </w:t>
            </w:r>
            <w:r w:rsidRPr="002142C2">
              <w:rPr>
                <w:rFonts w:ascii="Times New Roman" w:hAnsi="Times New Roman" w:cs="Times New Roman"/>
                <w:u w:val="single"/>
              </w:rPr>
              <w:t>по факту потребления</w:t>
            </w:r>
            <w:r w:rsidRPr="002142C2">
              <w:rPr>
                <w:rFonts w:ascii="Times New Roman" w:hAnsi="Times New Roman" w:cs="Times New Roman"/>
              </w:rPr>
              <w:t>.</w:t>
            </w:r>
          </w:p>
          <w:p w14:paraId="70CC4E82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Из этого следует, что процесс планирования закупок коммунальных услуг носит затруднительный характер, поскольку заказчикам невозможно запланировать точные расходы и отсутствует смысл проведения закупок.</w:t>
            </w:r>
          </w:p>
          <w:p w14:paraId="68ECD1BA" w14:textId="1EBC260B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Более того, коммунальные услуги предоставляются в соответствии с типовыми договорами (в </w:t>
            </w:r>
            <w:proofErr w:type="spellStart"/>
            <w:r w:rsidRPr="002142C2">
              <w:rPr>
                <w:rFonts w:ascii="Times New Roman" w:hAnsi="Times New Roman" w:cs="Times New Roman"/>
              </w:rPr>
              <w:t>т.ч</w:t>
            </w:r>
            <w:proofErr w:type="spellEnd"/>
            <w:r w:rsidRPr="002142C2">
              <w:rPr>
                <w:rFonts w:ascii="Times New Roman" w:hAnsi="Times New Roman" w:cs="Times New Roman"/>
              </w:rPr>
              <w:t>. не относятся к сфере естественных монополий), утвержденными на уровне уполномоченных государственных органов и такие контракты не подлежат загрузке и использованию на Веб-портале закупок Фонда.</w:t>
            </w:r>
          </w:p>
          <w:p w14:paraId="7943E5B9" w14:textId="326B80BE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Кроме того, не все поставщики услуг зарегистрированы на веб-портале закупок zakup.sk.kz, что влечет сложности, а в некоторых случаях невозможность принятия электронных </w:t>
            </w:r>
            <w:r w:rsidRPr="002142C2">
              <w:rPr>
                <w:rFonts w:ascii="Times New Roman" w:hAnsi="Times New Roman" w:cs="Times New Roman"/>
              </w:rPr>
              <w:lastRenderedPageBreak/>
              <w:t>решений, а также формирование и подписание электронных актов по оказанным услугам.</w:t>
            </w:r>
          </w:p>
          <w:p w14:paraId="647E392E" w14:textId="5C8B0111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</w:rPr>
              <w:t xml:space="preserve">29 февраля 2024 года </w:t>
            </w:r>
            <w:r w:rsidRPr="002142C2">
              <w:rPr>
                <w:rFonts w:ascii="Times New Roman" w:hAnsi="Times New Roman" w:cs="Times New Roman"/>
                <w:lang w:val="kk-KZ"/>
              </w:rPr>
              <w:t xml:space="preserve">Фондом в адрес Министерства финансов РК (письмо № 06-3.1-07-06-3/1231) направлены соответствующие предложения по исключению из сферы регулирования Закона РК «О закупках отдельных субъектов квазигосударственного сектора» коммунальных услуг. </w:t>
            </w:r>
          </w:p>
          <w:p w14:paraId="07701B64" w14:textId="209B13BF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При этом, предлагается на данном этапе в связи с отсутствием позиции Министерства финансов по предложениям в Закон перевести данные закупки в закупки согласно Особому порядку ввиду проблем, связанных с планированием данных закупок, заключением и исполнением договоров на веб-портале закупок при закупках способом из одного источника, с которыми сталкиваются все организации Фонда (предложения представлены в адрес Фонда сразу несколькими крупными портфельными компаниями Фонда).</w:t>
            </w:r>
          </w:p>
          <w:p w14:paraId="7FED2F32" w14:textId="11DB3313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Принятие предложения позволит стабилизировать процесс оплаты коммунальных услуг и тем самым, обеспечить бесперебойное функционирование стратегических и производственных объектов.</w:t>
            </w:r>
          </w:p>
          <w:p w14:paraId="4872D8AD" w14:textId="6F1AB31C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Также необходимо отметить отсутствие конкурентной среды на рынке предоставления коммунальных услуг.</w:t>
            </w:r>
          </w:p>
          <w:p w14:paraId="18D17CCA" w14:textId="2784684E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14:paraId="08B936E4" w14:textId="77777777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1E7D68E9" w14:textId="77777777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7DDC43F4" w14:textId="74702711" w:rsidTr="005A45C1">
        <w:tc>
          <w:tcPr>
            <w:tcW w:w="132" w:type="pct"/>
          </w:tcPr>
          <w:p w14:paraId="5C99FFB3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1AF35749" w14:textId="30256A59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Пп.10 п.1 ст.59</w:t>
            </w:r>
          </w:p>
        </w:tc>
        <w:tc>
          <w:tcPr>
            <w:tcW w:w="1017" w:type="pct"/>
          </w:tcPr>
          <w:p w14:paraId="43A8FA6A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10)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ab/>
              <w:t>приобретение товаров, работ, услуг, если имеется необходимость в осуществлении закупок ежедневной и (или) еженедельной потребности (на период с даты объявления тендера и до заключения договора по итогам тендера) по перечню,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дочерней организации Фонда первого уровня/Фонда.</w:t>
            </w:r>
          </w:p>
          <w:p w14:paraId="449B9B29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>При этом не допускается приобретение товаров, работ и услуг ежедневной и (или) еженедельной потребности на сумму более 1/4 от суммы, предусмотренной планом закупок на приобретение данных товаров, работ и услуг на год, определенный для осуществления закупки. Решение о закупках способом из одного источника в случае, предусмотренном настоящим подпунктом, принимается руководителем исполнительного органа заказчика (за исключением Фонда).</w:t>
            </w:r>
          </w:p>
          <w:p w14:paraId="209C47E4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Информация о проводимых закупках в соответствии с настоящим подпунктом должна быть опубликована на веб-портале закупок Фонда;</w:t>
            </w:r>
          </w:p>
          <w:p w14:paraId="267EC10F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Если закупки осуществляются в течение первого месяца года, настоящий подпункт применяется в случае отказа поставщика на продление действия ранее заключенного договора о закупках.</w:t>
            </w:r>
          </w:p>
          <w:p w14:paraId="04685C85" w14:textId="67C11E02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При расчете порогового значения, предусмотренного абзацем вторым настоящего подпункта, сумма, на которую увеличивается сумма договора о закупках в соответствии с 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lastRenderedPageBreak/>
              <w:t>подпунктом 17) пункта 1 статьи 65 Порядка, не учитывается;</w:t>
            </w:r>
          </w:p>
        </w:tc>
        <w:tc>
          <w:tcPr>
            <w:tcW w:w="1053" w:type="pct"/>
          </w:tcPr>
          <w:p w14:paraId="32B21B5B" w14:textId="2B7D8EE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Подпункт 10) пункта 1 статьи 59 исключить.</w:t>
            </w:r>
          </w:p>
        </w:tc>
        <w:tc>
          <w:tcPr>
            <w:tcW w:w="965" w:type="pct"/>
          </w:tcPr>
          <w:p w14:paraId="75D03F02" w14:textId="40093867" w:rsidR="00A96DCF" w:rsidRPr="002142C2" w:rsidRDefault="00A96DCF" w:rsidP="00D5608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 xml:space="preserve">Обоснование указано в пункте </w:t>
            </w:r>
            <w:r w:rsidRPr="002142C2">
              <w:rPr>
                <w:rFonts w:ascii="Times New Roman" w:hAnsi="Times New Roman" w:cs="Times New Roman"/>
              </w:rPr>
              <w:t>14 сравнительной таблицы.</w:t>
            </w:r>
          </w:p>
        </w:tc>
        <w:tc>
          <w:tcPr>
            <w:tcW w:w="834" w:type="pct"/>
          </w:tcPr>
          <w:p w14:paraId="313C85E9" w14:textId="77777777" w:rsidR="00A96DCF" w:rsidRPr="002142C2" w:rsidRDefault="00A96DCF" w:rsidP="00D5608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0D97B030" w14:textId="77777777" w:rsidR="00A96DCF" w:rsidRPr="002142C2" w:rsidRDefault="00A96DCF" w:rsidP="00D5608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6060B5C1" w14:textId="6C4159D9" w:rsidTr="005A45C1">
        <w:tc>
          <w:tcPr>
            <w:tcW w:w="132" w:type="pct"/>
          </w:tcPr>
          <w:p w14:paraId="566B228C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67194506" w14:textId="49FEA9AD" w:rsidR="00A96DCF" w:rsidRPr="002142C2" w:rsidRDefault="00A96DCF" w:rsidP="00792A37">
            <w:pPr>
              <w:pStyle w:val="31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 w:rsidRPr="002142C2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Пп.21) п.1 ст.59</w:t>
            </w:r>
          </w:p>
        </w:tc>
        <w:tc>
          <w:tcPr>
            <w:tcW w:w="1017" w:type="pct"/>
          </w:tcPr>
          <w:p w14:paraId="4F79F429" w14:textId="0D05DA06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 xml:space="preserve">Применение подпунктов 9)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– 11)</w:t>
            </w:r>
            <w:r w:rsidRPr="002142C2">
              <w:rPr>
                <w:rFonts w:ascii="Times New Roman" w:eastAsia="Arial" w:hAnsi="Times New Roman" w:cs="Times New Roman"/>
                <w:color w:val="000000"/>
              </w:rPr>
              <w:t>, 21) настоящего пункта допускается в случае отсутствия приобретаемых товаров, работ, услуг в электронном магазине в день принятия решения о закупке или отказа единственного поставщика от поставки.</w:t>
            </w:r>
          </w:p>
        </w:tc>
        <w:tc>
          <w:tcPr>
            <w:tcW w:w="1053" w:type="pct"/>
          </w:tcPr>
          <w:p w14:paraId="6C428538" w14:textId="77777777" w:rsidR="00A96DCF" w:rsidRPr="002142C2" w:rsidRDefault="00A96DCF" w:rsidP="00792A3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b/>
                <w:color w:val="000000"/>
                <w:lang w:val="kk-KZ"/>
              </w:rPr>
              <w:t xml:space="preserve">Абзац третий подпункта </w:t>
            </w:r>
            <w:r w:rsidRPr="002142C2">
              <w:rPr>
                <w:rFonts w:ascii="Times New Roman" w:eastAsia="Arial" w:hAnsi="Times New Roman" w:cs="Times New Roman"/>
                <w:b/>
                <w:color w:val="000000"/>
              </w:rPr>
              <w:t>21) пункта 1 статьи 59 изложить в следующей редакции:</w:t>
            </w:r>
          </w:p>
          <w:p w14:paraId="1498A1D6" w14:textId="6B060242" w:rsidR="00A96DCF" w:rsidRPr="002142C2" w:rsidRDefault="00A96DCF" w:rsidP="00B05D3A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142C2">
              <w:rPr>
                <w:rFonts w:ascii="Times New Roman" w:eastAsia="Arial" w:hAnsi="Times New Roman" w:cs="Times New Roman"/>
                <w:color w:val="000000"/>
              </w:rPr>
              <w:t>Применение подпунктов 9), 11), 21) настоящего пункта допускается в случае отсутствия приобретаемых товаров, работ, услуг в электронном магазине в день принятия решения о закупке или отказа единственного поставщика от поставки.</w:t>
            </w:r>
          </w:p>
        </w:tc>
        <w:tc>
          <w:tcPr>
            <w:tcW w:w="965" w:type="pct"/>
          </w:tcPr>
          <w:p w14:paraId="3E855985" w14:textId="5F33C61F" w:rsidR="00A96DCF" w:rsidRPr="002142C2" w:rsidRDefault="00A96DCF" w:rsidP="000E2F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В связи с исключением подпункта 10) пункта 1 статьи 59 Порядка.</w:t>
            </w:r>
          </w:p>
        </w:tc>
        <w:tc>
          <w:tcPr>
            <w:tcW w:w="834" w:type="pct"/>
          </w:tcPr>
          <w:p w14:paraId="5E31E61A" w14:textId="77777777" w:rsidR="00A96DCF" w:rsidRPr="002142C2" w:rsidRDefault="00A96DCF" w:rsidP="000E2F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2220CB5A" w14:textId="77777777" w:rsidR="00A96DCF" w:rsidRPr="002142C2" w:rsidRDefault="00A96DCF" w:rsidP="000E2F8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417ADFD2" w14:textId="0E9A887A" w:rsidTr="005A45C1">
        <w:tc>
          <w:tcPr>
            <w:tcW w:w="132" w:type="pct"/>
          </w:tcPr>
          <w:p w14:paraId="0F68797F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3609A78C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П.10 ст.61</w:t>
            </w:r>
          </w:p>
        </w:tc>
        <w:tc>
          <w:tcPr>
            <w:tcW w:w="1017" w:type="pct"/>
          </w:tcPr>
          <w:p w14:paraId="2B6D785B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Договор о закупках строительно-монтажных работ, по которым имеется сметная,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предпроектная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проектная (проектно-сметная) документация, утвержденная в установленном порядке, должен содержать обязательство поставщика/субподрядчика по приобретению товаров, подлежащих монтажу, оснащению строящегося объекта и (или) потреблению при строительстве в соответствии со  сметной,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предпроектной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проектной (проектно-сметной) документации, у товаропроизводителей закупаемого товара и организаций, реализующих Проект по созданию новых производств по закупаемому 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товару, на основе  коммерческих предложений, представленных на веб-портале закупок.</w:t>
            </w:r>
          </w:p>
          <w:p w14:paraId="21AF1460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Победитель тендера (поставщик/субподрядчик) рассматривает коммерческие предложения на предмет соответствия цены и характеристик товара требованиям сметной,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предпроектной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проектной (проектно-сметной) документации в срок до даты заключения договора о закупках с Заказчиком по итогам тендера.</w:t>
            </w:r>
          </w:p>
          <w:p w14:paraId="54AD6E22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соответствия цены и характеристик товара вышеуказанным требованиям победитель тендера (поставщик/субподрядчик) должен заключить договор с товаропроизводителем закупаемого товара и/или организацией, реализующей Проект по созданию новых производств по закупаемому товару, представившим наименьшую цену на дату подведения итогов тендера.</w:t>
            </w:r>
          </w:p>
          <w:p w14:paraId="1C66DE3A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этом в случае подачи коммерческих предложений после подведения итогов тендера победитель тендера (поставщик/субподрядчик) не освобождается от выполнения обязательства, 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предусмотренного настоящим пунктом, за исключением случая наличия договора на поставку предлагаемых товаров на момент подачи коммерческого предложения, а также несоответствия цены и характеристик товара требованиям сметной,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предпроектной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проектной (проектно-сметной) документации.</w:t>
            </w:r>
          </w:p>
          <w:p w14:paraId="316822AD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неисполнения нормы настоящего пункта, поставщик работ несет ответственность за неисполнение обязательства в виде штрафа в размере 20% от общей стоимости договора о закупках, который должен быть оплачен поставщиком работ или может быть удержан Заказчиком до подписания сторонами соответствующего (окончательного) акта, подтверждающего прием - передачу выполненных работ.</w:t>
            </w:r>
          </w:p>
          <w:p w14:paraId="030704E4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Подтверждением исполнения поставщиком/субподрядчиком обязательства, предусмотренного настоящим пунктом, является предоставление поставщиком/субподрядчиком до даты подписания сторонами соответствующего (окончательного) акта, 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подтверждающего прием-передачу выполненных работ, копии(й) договора(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 закупках товаров у товаропроизводителя(ей) закупаемых товаров/организации(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реализующей(их) Проект по созданию новых производств по закупаемому товару, актов приема-передачи товаров.</w:t>
            </w:r>
          </w:p>
        </w:tc>
        <w:tc>
          <w:tcPr>
            <w:tcW w:w="1053" w:type="pct"/>
          </w:tcPr>
          <w:p w14:paraId="3F536197" w14:textId="278C9F5A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С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тать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ю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61 дополнить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пунктом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10-2 следующего содержания:</w:t>
            </w:r>
          </w:p>
          <w:p w14:paraId="2679957E" w14:textId="6B97E9AE" w:rsidR="00A96DCF" w:rsidRPr="002142C2" w:rsidRDefault="00A96DCF" w:rsidP="00B62BAD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10-2. Заказчик на постоянной основе осуществляет мониторинг исполнения поставщиком/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субподрядчиком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обязательств, предусмотренных пунктами 10 и 10-1 настоящей статьи, в том числе посредством анализа итогов рассмотрения поставщиком работ коммерческих предложений, представленных посредством веб-портала закупок в рамках пункта 10 настоящей статьи.</w:t>
            </w:r>
          </w:p>
        </w:tc>
        <w:tc>
          <w:tcPr>
            <w:tcW w:w="965" w:type="pct"/>
          </w:tcPr>
          <w:p w14:paraId="1E65118F" w14:textId="594948FD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В целях увеличения доли внутристрановой ценности и</w:t>
            </w:r>
            <w:r w:rsidRPr="002142C2">
              <w:rPr>
                <w:rFonts w:ascii="Times New Roman" w:hAnsi="Times New Roman" w:cs="Times New Roman"/>
              </w:rPr>
              <w:t xml:space="preserve"> обеспечения качественного исполнения поставщиком работ и услуг обязательств по приобретению товаров у отечественных товаропроизводителей предлагается предусмотреть требование о мониторинге Заказчиками исполнения данных обязательств.</w:t>
            </w:r>
          </w:p>
          <w:p w14:paraId="67F9EAEC" w14:textId="76D2AF9B" w:rsidR="00A96DCF" w:rsidRPr="002142C2" w:rsidRDefault="00A96DCF" w:rsidP="004921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настоящее время имеются факты, когда подрядчики</w:t>
            </w:r>
            <w:r w:rsidRPr="002142C2">
              <w:rPr>
                <w:rFonts w:ascii="Times New Roman" w:hAnsi="Times New Roman" w:cs="Times New Roman"/>
                <w:lang w:val="kk-KZ"/>
              </w:rPr>
              <w:t xml:space="preserve"> строительно</w:t>
            </w:r>
            <w:r w:rsidRPr="002142C2">
              <w:rPr>
                <w:rFonts w:ascii="Times New Roman" w:hAnsi="Times New Roman" w:cs="Times New Roman"/>
              </w:rPr>
              <w:t xml:space="preserve">-монтажных работ неправомерно отклоняют коммерческие предложения товаропроизводителей на веб портале закупок, в связи с чем также введено требование о мониторинге итогов рассмотрения подрядчиками коммерческих предложений </w:t>
            </w:r>
            <w:r w:rsidRPr="002142C2">
              <w:rPr>
                <w:rFonts w:ascii="Times New Roman" w:hAnsi="Times New Roman" w:cs="Times New Roman"/>
              </w:rPr>
              <w:lastRenderedPageBreak/>
              <w:t>отечественных товаропроизводителей, представленных на веб-портале закупок.</w:t>
            </w:r>
          </w:p>
        </w:tc>
        <w:tc>
          <w:tcPr>
            <w:tcW w:w="834" w:type="pct"/>
          </w:tcPr>
          <w:p w14:paraId="315FC7C2" w14:textId="77777777" w:rsidR="00A96DCF" w:rsidRPr="002142C2" w:rsidRDefault="00A96DCF" w:rsidP="004921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5972672B" w14:textId="77777777" w:rsidR="00A96DCF" w:rsidRPr="002142C2" w:rsidRDefault="00A96DCF" w:rsidP="004921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3C5BA894" w14:textId="42F92F1D" w:rsidTr="005A45C1">
        <w:tc>
          <w:tcPr>
            <w:tcW w:w="132" w:type="pct"/>
          </w:tcPr>
          <w:p w14:paraId="6D3738D8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7A8CB4F2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П.16 ст.61</w:t>
            </w:r>
          </w:p>
        </w:tc>
        <w:tc>
          <w:tcPr>
            <w:tcW w:w="1017" w:type="pct"/>
          </w:tcPr>
          <w:p w14:paraId="03069922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Договор о закупках, заключаемый с победителем тендера, должен содержать обязательство поставщика о выполнении работ/оказании услуг квалифицированными специалистами, заявленными в составе тендерной заявки.</w:t>
            </w:r>
          </w:p>
          <w:p w14:paraId="2F2D7283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этом поставщик вправе по согласованию с Заказчиком заменить специалистов, заявленных в составе тендерной заявки, на равнозначных.</w:t>
            </w:r>
          </w:p>
        </w:tc>
        <w:tc>
          <w:tcPr>
            <w:tcW w:w="1053" w:type="pct"/>
          </w:tcPr>
          <w:p w14:paraId="06AFBB2E" w14:textId="10F1BC4E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Пункт 16 статьи 61 изложить в следующей редакции:</w:t>
            </w:r>
          </w:p>
          <w:p w14:paraId="7D8ED82A" w14:textId="2012A77A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Договор о закупках, заключаемый с победителем тендера, должен содержать обязательство поставщика о выполнении работ/оказании услуг квалифицированными специалистами,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 оборудованием, техникой (техническими устройствами), зданиями (сооружениями), помещениями, программным обеспечением,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заявленными в составе тендерной заявки.</w:t>
            </w:r>
          </w:p>
          <w:p w14:paraId="16FF36E2" w14:textId="7C7F34A0" w:rsidR="00A96DCF" w:rsidRPr="002142C2" w:rsidRDefault="00A96DCF" w:rsidP="002448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этом поставщик вправе по согласованию с Заказчиком заменить специалистов, 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оборудование, технику (технические устройства), помещения, программное обеспечение,</w:t>
            </w: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заявленных в составе тендерной заявки, на равнозначных.</w:t>
            </w:r>
          </w:p>
        </w:tc>
        <w:tc>
          <w:tcPr>
            <w:tcW w:w="965" w:type="pct"/>
          </w:tcPr>
          <w:p w14:paraId="6482ED76" w14:textId="77777777" w:rsidR="00A96DCF" w:rsidRPr="002142C2" w:rsidRDefault="00A96DCF" w:rsidP="00792A37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Порядок не позволяет описать/уточнить требование, что на каждый (отдельный) лот должны быть привлечены работники и предоставлены спецтехника отдельно по каждому лоту. Это приводит к тому, что у Заказчика на стадии рассмотрения заявок отсутствует возможность отклонения заявки потенциального поставщика по причине дублирования им документов на специалистов и спецтехнику в лотах.</w:t>
            </w:r>
          </w:p>
          <w:p w14:paraId="0DDCB56A" w14:textId="77777777" w:rsidR="00A96DCF" w:rsidRPr="002142C2" w:rsidRDefault="00A96DCF" w:rsidP="00792A37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К</w:t>
            </w:r>
            <w:r w:rsidRPr="002142C2">
              <w:rPr>
                <w:rFonts w:ascii="Times New Roman" w:hAnsi="Times New Roman" w:cs="Times New Roman"/>
              </w:rPr>
              <w:t xml:space="preserve"> примеру</w:t>
            </w:r>
            <w:r w:rsidRPr="002142C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142C2">
              <w:rPr>
                <w:rFonts w:ascii="Times New Roman" w:hAnsi="Times New Roman" w:cs="Times New Roman"/>
              </w:rPr>
              <w:t xml:space="preserve"> заказчик при закупке работы по подземному ремонту скважин в тендерной документации в зависимости от объема работ в каждом лоте устанавливает требования по необходимому количеству специалистов и  спецтехники.</w:t>
            </w:r>
          </w:p>
          <w:p w14:paraId="67286C69" w14:textId="77777777" w:rsidR="00A96DCF" w:rsidRPr="002142C2" w:rsidRDefault="00A96DCF" w:rsidP="00792A37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Но, потенциальные подрядчики по всем лотам </w:t>
            </w:r>
            <w:r w:rsidRPr="002142C2">
              <w:rPr>
                <w:rFonts w:ascii="Times New Roman" w:hAnsi="Times New Roman" w:cs="Times New Roman"/>
              </w:rPr>
              <w:lastRenderedPageBreak/>
              <w:t xml:space="preserve">дублируют подтверждающие документы на одних и </w:t>
            </w:r>
            <w:proofErr w:type="gramStart"/>
            <w:r w:rsidRPr="002142C2">
              <w:rPr>
                <w:rFonts w:ascii="Times New Roman" w:hAnsi="Times New Roman" w:cs="Times New Roman"/>
              </w:rPr>
              <w:t>тех же специалистов</w:t>
            </w:r>
            <w:proofErr w:type="gramEnd"/>
            <w:r w:rsidRPr="002142C2">
              <w:rPr>
                <w:rFonts w:ascii="Times New Roman" w:hAnsi="Times New Roman" w:cs="Times New Roman"/>
              </w:rPr>
              <w:t xml:space="preserve"> и спецтехнику. </w:t>
            </w:r>
          </w:p>
          <w:p w14:paraId="14D3EE3C" w14:textId="77777777" w:rsidR="00A96DCF" w:rsidRPr="002142C2" w:rsidRDefault="00A96DCF" w:rsidP="00792A37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Вместе с тем, в случае победы по всем 4 лотам, такой потенциальный поставщик, не имея требуемого количества специалистов и спецтехники, не в состоянии своевременно и качественно выполнить поставленные задачи, что приводит к нарушению производственного цикла.</w:t>
            </w:r>
          </w:p>
          <w:p w14:paraId="6EE01C64" w14:textId="3FB658E2" w:rsidR="00A96DCF" w:rsidRPr="002142C2" w:rsidRDefault="00A96DCF" w:rsidP="00126949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В связи с этим</w:t>
            </w:r>
            <w:r w:rsidRPr="002142C2">
              <w:rPr>
                <w:rFonts w:ascii="Times New Roman" w:hAnsi="Times New Roman" w:cs="Times New Roman"/>
              </w:rPr>
              <w:t>, предлагается включить в пункт 16 статьи 61 Порядка требование по применению поставщиком техники, заявленной на этапе тендера (по аналогии со специалистами), а также по ее замене  на равнозначную в целях минимизации вышеуказанных случаев при исполнении договора.</w:t>
            </w:r>
          </w:p>
          <w:p w14:paraId="023E27E5" w14:textId="15F83A45" w:rsidR="00A96DCF" w:rsidRPr="002142C2" w:rsidRDefault="00A96DCF" w:rsidP="00126949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14:paraId="64B64E1E" w14:textId="77777777" w:rsidR="00A96DCF" w:rsidRPr="002142C2" w:rsidRDefault="00A96DCF" w:rsidP="00126949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6C913A0F" w14:textId="77777777" w:rsidR="00A96DCF" w:rsidRPr="002142C2" w:rsidRDefault="00A96DCF" w:rsidP="00126949">
            <w:pPr>
              <w:tabs>
                <w:tab w:val="left" w:pos="406"/>
              </w:tabs>
              <w:spacing w:after="0" w:line="240" w:lineRule="auto"/>
              <w:ind w:left="-57" w:right="-57" w:firstLine="22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5FB3FE13" w14:textId="36E7D08B" w:rsidTr="005A45C1">
        <w:tc>
          <w:tcPr>
            <w:tcW w:w="132" w:type="pct"/>
          </w:tcPr>
          <w:p w14:paraId="5FFB48EB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46295801" w14:textId="48083805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Пп.4) п.1 ст.65</w:t>
            </w:r>
          </w:p>
        </w:tc>
        <w:tc>
          <w:tcPr>
            <w:tcW w:w="1017" w:type="pct"/>
          </w:tcPr>
          <w:p w14:paraId="64EBB1BF" w14:textId="29F637CE" w:rsidR="00A96DCF" w:rsidRPr="002142C2" w:rsidRDefault="00A96DCF" w:rsidP="006B11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1.</w:t>
            </w:r>
            <w:r w:rsidRPr="002142C2">
              <w:rPr>
                <w:rFonts w:ascii="Times New Roman" w:hAnsi="Times New Roman" w:cs="Times New Roman"/>
              </w:rPr>
              <w:tab/>
              <w:t>Внесение изменений и (или) дополнений в заключенный договор (долгосрочный) о закупках допускаются по взаимному согласию сторон в следующих случаях:</w:t>
            </w:r>
          </w:p>
          <w:p w14:paraId="65C7A06B" w14:textId="6E3EE45A" w:rsidR="00A96DCF" w:rsidRPr="002142C2" w:rsidRDefault="00A96DCF" w:rsidP="006B11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………………………….</w:t>
            </w:r>
          </w:p>
          <w:p w14:paraId="3B220923" w14:textId="124CDE3B" w:rsidR="00A96DCF" w:rsidRPr="002142C2" w:rsidRDefault="00A96DCF" w:rsidP="006B11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4)</w:t>
            </w:r>
            <w:r w:rsidRPr="002142C2">
              <w:rPr>
                <w:rFonts w:ascii="Times New Roman" w:hAnsi="Times New Roman" w:cs="Times New Roman"/>
              </w:rPr>
              <w:tab/>
              <w:t xml:space="preserve">в части уменьшения либо увеличения суммы договора о закупках </w:t>
            </w:r>
            <w:r w:rsidRPr="002142C2">
              <w:rPr>
                <w:rFonts w:ascii="Times New Roman" w:hAnsi="Times New Roman" w:cs="Times New Roman"/>
                <w:b/>
              </w:rPr>
              <w:t xml:space="preserve">на сумму и </w:t>
            </w:r>
            <w:r w:rsidRPr="002142C2">
              <w:rPr>
                <w:rFonts w:ascii="Times New Roman" w:hAnsi="Times New Roman" w:cs="Times New Roman"/>
                <w:b/>
              </w:rPr>
              <w:lastRenderedPageBreak/>
              <w:t>объем, не превышающих первоначально запланированных в плане закупок</w:t>
            </w:r>
            <w:r w:rsidRPr="002142C2">
              <w:rPr>
                <w:rFonts w:ascii="Times New Roman" w:hAnsi="Times New Roman" w:cs="Times New Roman"/>
              </w:rPr>
              <w:t>, связанной с уменьшением либо обоснованным увеличением потребности в объеме приобретаемых товаров, работ, за исключением работ, указанных в подпункте 2) настоящего пункта, услуг, а также в части соответствующего изменения сроков исполнения договора, при условии неизменности цены за единицу товара, работы, услуги, указанных в заключенном договоре о закупках. Такое изменение заключенного договора о закупках товаров, работ, услуг допускается в пределах сумм и объемов, предусмотренных для приобретения данных товаров, работ, услуг в плане закупок на год, определенный для осуществления закупки. Сумма и объем, на которые увеличивается сумма договора о закупках по лоту, не должна превышать первоначальную сумму договора о закупках по лоту.</w:t>
            </w:r>
          </w:p>
        </w:tc>
        <w:tc>
          <w:tcPr>
            <w:tcW w:w="1053" w:type="pct"/>
          </w:tcPr>
          <w:p w14:paraId="5E4B317C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Подпункт 4) пункта 1 статьи 65 изложить в следующей редакции:</w:t>
            </w:r>
          </w:p>
          <w:p w14:paraId="23C55756" w14:textId="18F0B510" w:rsidR="00A96DCF" w:rsidRPr="002142C2" w:rsidRDefault="00A96DCF" w:rsidP="004C1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4)</w:t>
            </w:r>
            <w:r w:rsidRPr="002142C2">
              <w:rPr>
                <w:rFonts w:ascii="Times New Roman" w:hAnsi="Times New Roman" w:cs="Times New Roman"/>
              </w:rPr>
              <w:tab/>
              <w:t xml:space="preserve">в части уменьшения либо увеличения суммы договора о закупках на сумму и объем, не превышающих </w:t>
            </w:r>
            <w:r w:rsidRPr="002142C2">
              <w:rPr>
                <w:rFonts w:ascii="Times New Roman" w:hAnsi="Times New Roman" w:cs="Times New Roman"/>
                <w:b/>
              </w:rPr>
              <w:t>50 (</w:t>
            </w:r>
            <w:r w:rsidRPr="002142C2">
              <w:rPr>
                <w:rFonts w:ascii="Times New Roman" w:hAnsi="Times New Roman" w:cs="Times New Roman"/>
                <w:b/>
                <w:lang w:val="kk-KZ"/>
              </w:rPr>
              <w:t>пятьдесят</w:t>
            </w:r>
            <w:r w:rsidRPr="002142C2">
              <w:rPr>
                <w:rFonts w:ascii="Times New Roman" w:hAnsi="Times New Roman" w:cs="Times New Roman"/>
                <w:b/>
              </w:rPr>
              <w:t>) процентов от</w:t>
            </w:r>
            <w:r w:rsidRPr="002142C2">
              <w:rPr>
                <w:rFonts w:ascii="Times New Roman" w:hAnsi="Times New Roman" w:cs="Times New Roman"/>
              </w:rPr>
              <w:t xml:space="preserve"> первоначально запланированных в плане закупок, связанной с уменьшением либо </w:t>
            </w:r>
            <w:r w:rsidRPr="002142C2">
              <w:rPr>
                <w:rFonts w:ascii="Times New Roman" w:hAnsi="Times New Roman" w:cs="Times New Roman"/>
              </w:rPr>
              <w:lastRenderedPageBreak/>
              <w:t xml:space="preserve">обоснованным увеличением потребности в объеме приобретаемых товаров, работ, за исключением работ, указанных в подпункте 2) настоящего пункта, услуг, а также в части соответствующего изменения сроков исполнения договора, при условии неизменности цены за единицу товара, работы, услуги, указанных в заключенном договоре о закупках. Такое изменение заключенного договора о закупках товаров, работ, услуг допускается в пределах сумм и объемов, предусмотренных для приобретения данных товаров, работ, услуг в плане закупок на год, определенный для осуществления закупки. Сумма и объем, на которые увеличивается сумма </w:t>
            </w:r>
            <w:r w:rsidRPr="002142C2">
              <w:rPr>
                <w:rFonts w:ascii="Times New Roman" w:hAnsi="Times New Roman" w:cs="Times New Roman"/>
                <w:b/>
              </w:rPr>
              <w:t>и объем</w:t>
            </w:r>
            <w:r w:rsidRPr="002142C2">
              <w:rPr>
                <w:rFonts w:ascii="Times New Roman" w:hAnsi="Times New Roman" w:cs="Times New Roman"/>
              </w:rPr>
              <w:t xml:space="preserve"> по договору о закупках по лоту, не должны превышать </w:t>
            </w:r>
            <w:r w:rsidRPr="002142C2">
              <w:rPr>
                <w:rFonts w:ascii="Times New Roman" w:hAnsi="Times New Roman" w:cs="Times New Roman"/>
                <w:b/>
              </w:rPr>
              <w:t>50 (пятьдесят) процентов</w:t>
            </w:r>
            <w:r w:rsidRPr="002142C2">
              <w:rPr>
                <w:rFonts w:ascii="Times New Roman" w:hAnsi="Times New Roman" w:cs="Times New Roman"/>
              </w:rPr>
              <w:t xml:space="preserve"> от первоначальной суммы </w:t>
            </w:r>
            <w:r w:rsidRPr="002142C2">
              <w:rPr>
                <w:rFonts w:ascii="Times New Roman" w:hAnsi="Times New Roman" w:cs="Times New Roman"/>
                <w:b/>
              </w:rPr>
              <w:t>и объема</w:t>
            </w:r>
            <w:r w:rsidRPr="002142C2">
              <w:rPr>
                <w:rFonts w:ascii="Times New Roman" w:hAnsi="Times New Roman" w:cs="Times New Roman"/>
              </w:rPr>
              <w:t xml:space="preserve"> по договору о закупках по лоту.</w:t>
            </w:r>
          </w:p>
        </w:tc>
        <w:tc>
          <w:tcPr>
            <w:tcW w:w="965" w:type="pct"/>
          </w:tcPr>
          <w:p w14:paraId="10A29CF1" w14:textId="77777777" w:rsidR="00A96DCF" w:rsidRPr="002142C2" w:rsidRDefault="00A96DCF" w:rsidP="00F71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В рамках Указа Президента РК «О мерах по либерализации экономики» предлагается ограничить внесение изменений в договоры о закупках в части увеличения объема потребности со 100% от первоначального объема до 50%.</w:t>
            </w:r>
          </w:p>
          <w:p w14:paraId="64B44CFD" w14:textId="1D20435F" w:rsidR="00A96DCF" w:rsidRPr="002142C2" w:rsidRDefault="00A96DCF" w:rsidP="00FF76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Данное изменение положительно повлияет на </w:t>
            </w:r>
            <w:r w:rsidRPr="002142C2">
              <w:rPr>
                <w:rFonts w:ascii="Times New Roman" w:hAnsi="Times New Roman" w:cs="Times New Roman"/>
              </w:rPr>
              <w:lastRenderedPageBreak/>
              <w:t>увеличение конкурентной среды в закупках организаций Фонда, т.к. дополнительная потребность свыше 50% будет закупаться конкурентными способами.</w:t>
            </w:r>
          </w:p>
        </w:tc>
        <w:tc>
          <w:tcPr>
            <w:tcW w:w="834" w:type="pct"/>
          </w:tcPr>
          <w:p w14:paraId="45658A06" w14:textId="77777777" w:rsidR="00A96DCF" w:rsidRPr="002142C2" w:rsidRDefault="00A96DCF" w:rsidP="00FF76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76383365" w14:textId="77777777" w:rsidR="00A96DCF" w:rsidRPr="002142C2" w:rsidRDefault="00A96DCF" w:rsidP="00FF76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552AD6C6" w14:textId="1E1A7D94" w:rsidTr="005A45C1">
        <w:tc>
          <w:tcPr>
            <w:tcW w:w="132" w:type="pct"/>
          </w:tcPr>
          <w:p w14:paraId="5EED40AB" w14:textId="77777777" w:rsidR="00A96DCF" w:rsidRPr="002142C2" w:rsidRDefault="00A96DCF" w:rsidP="00792A37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" w:type="pct"/>
          </w:tcPr>
          <w:p w14:paraId="4ED6DBAD" w14:textId="4CCAF18F" w:rsidR="00A96DCF" w:rsidRPr="002142C2" w:rsidRDefault="00A96DCF" w:rsidP="0079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П.2 ст.66</w:t>
            </w:r>
          </w:p>
        </w:tc>
        <w:tc>
          <w:tcPr>
            <w:tcW w:w="1017" w:type="pct"/>
          </w:tcPr>
          <w:p w14:paraId="23B669D8" w14:textId="5E729784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2.</w:t>
            </w:r>
            <w:r w:rsidRPr="002142C2">
              <w:rPr>
                <w:rFonts w:ascii="Times New Roman" w:hAnsi="Times New Roman" w:cs="Times New Roman"/>
              </w:rPr>
              <w:tab/>
              <w:t xml:space="preserve">В случае наличия вступившего в законную силу решения (постановления) суда, </w:t>
            </w:r>
            <w:r w:rsidRPr="002142C2">
              <w:rPr>
                <w:rFonts w:ascii="Times New Roman" w:hAnsi="Times New Roman" w:cs="Times New Roman"/>
              </w:rPr>
              <w:lastRenderedPageBreak/>
              <w:t>установившего факт неисполнения или ненадлежащего исполнения договора о закупках, Заказчик направляет соответствующую информацию Оператору Фонда по закупкам для включения поставщика в Перечень ненадежных потенциальных поставщиков (поставщиков) Фонда в порядке, установленном настоящим Порядком.</w:t>
            </w:r>
          </w:p>
        </w:tc>
        <w:tc>
          <w:tcPr>
            <w:tcW w:w="1053" w:type="pct"/>
          </w:tcPr>
          <w:p w14:paraId="156A9388" w14:textId="4DCACE9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Пункт 2 статьи 66 изложить в следующей редакции:</w:t>
            </w:r>
          </w:p>
          <w:p w14:paraId="28074FD3" w14:textId="31D7F683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 xml:space="preserve">2. В случае наличия вступившего в законную силу решения (постановления) суда, установившего факт неисполнения или ненадлежащего исполнения договора о закупках, Заказчик направляет соответствующую информацию Оператору Фонда по закупкам для включения поставщика в Перечень ненадежных потенциальных поставщиков (поставщиков) Фонда в порядке, установленном настоящим Порядком, </w:t>
            </w:r>
            <w:r w:rsidRPr="002142C2">
              <w:rPr>
                <w:rFonts w:ascii="Times New Roman" w:hAnsi="Times New Roman" w:cs="Times New Roman"/>
                <w:b/>
              </w:rPr>
              <w:t>за исключением случаев, которые в совокупности удовлетворяют условиям, указанным подпунктах 1) – 3) пункта 3 настоящей статьи.</w:t>
            </w:r>
          </w:p>
        </w:tc>
        <w:tc>
          <w:tcPr>
            <w:tcW w:w="965" w:type="pct"/>
          </w:tcPr>
          <w:p w14:paraId="6B01F9D1" w14:textId="24EB93AF" w:rsidR="00A96DCF" w:rsidRPr="002142C2" w:rsidRDefault="00A96DCF" w:rsidP="008440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 xml:space="preserve">В целях повышения качества закупок и повышения ответственности поставщиков </w:t>
            </w: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>за неисполнение договорных обязательств предлагается исключить возможность поставщикам, не исполнившим договорные обязательства, избежать включения в Перечень ненадежных потенциальных поставщиков (поставщиков) Фонда путем уплаты штрафных санкций до подачи Заказчиком искового заявления в суд.</w:t>
            </w:r>
          </w:p>
          <w:p w14:paraId="105D3D0B" w14:textId="77777777" w:rsidR="00A96DCF" w:rsidRPr="002142C2" w:rsidRDefault="00A96DCF" w:rsidP="008440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Предлагается не включать в Перечень ненадежных поставщиков только в случае полной оплаты неустойки, полного исполнения договорных обязательств и отсутствия убытков у Заказчика (по аналогии с государственными закупками).</w:t>
            </w:r>
          </w:p>
          <w:p w14:paraId="3B8E08A6" w14:textId="19AC7011" w:rsidR="00A96DCF" w:rsidRPr="002142C2" w:rsidRDefault="00A96DCF" w:rsidP="006734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Вносится во исполнение частного определения Специализированного межрайонного административного суда города Астаны от 4 мая 2023 года № 7194-23-00-4/952, где Фонду указано о необходимости верификации критерия «ненадлежащего исполнения договора».</w:t>
            </w:r>
          </w:p>
        </w:tc>
        <w:tc>
          <w:tcPr>
            <w:tcW w:w="834" w:type="pct"/>
          </w:tcPr>
          <w:p w14:paraId="7F5C3BDF" w14:textId="77777777" w:rsidR="00A96DCF" w:rsidRPr="002142C2" w:rsidRDefault="00A96DCF" w:rsidP="006734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1" w:type="pct"/>
          </w:tcPr>
          <w:p w14:paraId="79506896" w14:textId="77777777" w:rsidR="00A96DCF" w:rsidRPr="002142C2" w:rsidRDefault="00A96DCF" w:rsidP="006734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69A9" w:rsidRPr="002142C2" w14:paraId="23476EB9" w14:textId="64742174" w:rsidTr="005A45C1">
        <w:tc>
          <w:tcPr>
            <w:tcW w:w="132" w:type="pct"/>
          </w:tcPr>
          <w:p w14:paraId="1FC64353" w14:textId="77777777" w:rsidR="00A96DCF" w:rsidRPr="002142C2" w:rsidRDefault="00A96DCF" w:rsidP="00792A37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" w:type="pct"/>
          </w:tcPr>
          <w:p w14:paraId="14118D83" w14:textId="77777777" w:rsidR="00A96DCF" w:rsidRPr="002142C2" w:rsidRDefault="00A96DCF" w:rsidP="0079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П.3 ст.66</w:t>
            </w:r>
          </w:p>
        </w:tc>
        <w:tc>
          <w:tcPr>
            <w:tcW w:w="1017" w:type="pct"/>
          </w:tcPr>
          <w:p w14:paraId="006EA393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</w:rPr>
              <w:t>3.</w:t>
            </w:r>
            <w:r w:rsidRPr="002142C2">
              <w:rPr>
                <w:rFonts w:ascii="Times New Roman" w:hAnsi="Times New Roman" w:cs="Times New Roman"/>
              </w:rPr>
              <w:tab/>
            </w:r>
            <w:proofErr w:type="gramStart"/>
            <w:r w:rsidRPr="002142C2">
              <w:rPr>
                <w:rFonts w:ascii="Times New Roman" w:hAnsi="Times New Roman" w:cs="Times New Roman"/>
              </w:rPr>
              <w:t>В</w:t>
            </w:r>
            <w:proofErr w:type="gramEnd"/>
            <w:r w:rsidRPr="002142C2">
              <w:rPr>
                <w:rFonts w:ascii="Times New Roman" w:hAnsi="Times New Roman" w:cs="Times New Roman"/>
              </w:rPr>
              <w:t xml:space="preserve"> случае нарушения поставщиком исполнения договорных обязательств Заказчик вправе удержать из суммы внесенного обеспечения исполнения договора о закупках сумму </w:t>
            </w:r>
            <w:r w:rsidRPr="002142C2">
              <w:rPr>
                <w:rFonts w:ascii="Times New Roman" w:hAnsi="Times New Roman" w:cs="Times New Roman"/>
                <w:b/>
              </w:rPr>
              <w:t>штрафа</w:t>
            </w:r>
            <w:r w:rsidRPr="002142C2">
              <w:rPr>
                <w:rFonts w:ascii="Times New Roman" w:hAnsi="Times New Roman" w:cs="Times New Roman"/>
              </w:rPr>
              <w:t xml:space="preserve">, начисленную поставщику за нарушение исполнения им договорных обязательств и возникших в связи с этим убытков. Оставшаяся сумма обеспечения исполнения договора о закупке возвращается поставщику в срок не более 10 (десяти) рабочих дней с даты полного </w:t>
            </w:r>
            <w:r w:rsidRPr="002142C2">
              <w:rPr>
                <w:rFonts w:ascii="Times New Roman" w:hAnsi="Times New Roman" w:cs="Times New Roman"/>
                <w:b/>
              </w:rPr>
              <w:t xml:space="preserve">и надлежащего </w:t>
            </w:r>
            <w:r w:rsidRPr="002142C2">
              <w:rPr>
                <w:rFonts w:ascii="Times New Roman" w:hAnsi="Times New Roman" w:cs="Times New Roman"/>
              </w:rPr>
              <w:t xml:space="preserve">исполнения им своих обязательств по договору, </w:t>
            </w:r>
            <w:r w:rsidRPr="002142C2">
              <w:rPr>
                <w:rFonts w:ascii="Times New Roman" w:hAnsi="Times New Roman" w:cs="Times New Roman"/>
                <w:b/>
              </w:rPr>
              <w:t>а также устранения им допущенных и возможных к устранению нарушений условий договора о закупке (в случае допущения таких нарушений)</w:t>
            </w:r>
            <w:r w:rsidRPr="002142C2">
              <w:rPr>
                <w:rFonts w:ascii="Times New Roman" w:hAnsi="Times New Roman" w:cs="Times New Roman"/>
              </w:rPr>
              <w:t xml:space="preserve"> </w:t>
            </w:r>
            <w:r w:rsidRPr="002142C2">
              <w:rPr>
                <w:rFonts w:ascii="Times New Roman" w:hAnsi="Times New Roman" w:cs="Times New Roman"/>
                <w:b/>
              </w:rPr>
              <w:t>без внесения его в Перечень ненадежных потенциальных поставщиков (поставщиков) Фонда.</w:t>
            </w:r>
          </w:p>
          <w:p w14:paraId="2F85EEBC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b/>
              </w:rPr>
              <w:t xml:space="preserve">При этом в случае полной оплаты штрафных санкций поставщиком до подачи Заказчиком искового заявления в суд обеспечение исполнения договора Заказчиком не удерживается, и поставщик не вносится в Перечень ненадежных </w:t>
            </w:r>
            <w:r w:rsidRPr="002142C2">
              <w:rPr>
                <w:rFonts w:ascii="Times New Roman" w:hAnsi="Times New Roman" w:cs="Times New Roman"/>
                <w:b/>
              </w:rPr>
              <w:lastRenderedPageBreak/>
              <w:t>потенциальных поставщиков (поставщиков) Фонда.</w:t>
            </w:r>
          </w:p>
        </w:tc>
        <w:tc>
          <w:tcPr>
            <w:tcW w:w="1053" w:type="pct"/>
          </w:tcPr>
          <w:p w14:paraId="40245BD8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Пункт 3 статьи 66 изложить в следующей редакции:</w:t>
            </w:r>
          </w:p>
          <w:p w14:paraId="4DE43FA1" w14:textId="00423115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3.</w:t>
            </w:r>
            <w:r w:rsidRPr="002142C2">
              <w:rPr>
                <w:rFonts w:ascii="Times New Roman" w:hAnsi="Times New Roman" w:cs="Times New Roman"/>
              </w:rPr>
              <w:tab/>
            </w:r>
            <w:proofErr w:type="gramStart"/>
            <w:r w:rsidRPr="002142C2">
              <w:rPr>
                <w:rFonts w:ascii="Times New Roman" w:hAnsi="Times New Roman" w:cs="Times New Roman"/>
              </w:rPr>
              <w:t>В</w:t>
            </w:r>
            <w:proofErr w:type="gramEnd"/>
            <w:r w:rsidRPr="002142C2">
              <w:rPr>
                <w:rFonts w:ascii="Times New Roman" w:hAnsi="Times New Roman" w:cs="Times New Roman"/>
              </w:rPr>
              <w:t xml:space="preserve"> случае нарушения поставщиком исполнения договорных обязательств Заказчик вправе удержать из суммы внесенного обеспечения исполнения договора о закупках сумму </w:t>
            </w:r>
            <w:r w:rsidRPr="002142C2">
              <w:rPr>
                <w:rFonts w:ascii="Times New Roman" w:hAnsi="Times New Roman" w:cs="Times New Roman"/>
                <w:b/>
              </w:rPr>
              <w:t>неустойки (штрафа, пени)</w:t>
            </w:r>
            <w:r w:rsidRPr="002142C2">
              <w:rPr>
                <w:rFonts w:ascii="Times New Roman" w:hAnsi="Times New Roman" w:cs="Times New Roman"/>
              </w:rPr>
              <w:t>, начисленную поставщику за нарушение исполнения им договорных обязательств и возникшую в связи с этим</w:t>
            </w:r>
            <w:r w:rsidRPr="002142C2">
              <w:rPr>
                <w:rFonts w:ascii="Times New Roman" w:hAnsi="Times New Roman" w:cs="Times New Roman"/>
                <w:lang w:val="kk-KZ"/>
              </w:rPr>
              <w:t xml:space="preserve"> сумму ущерба</w:t>
            </w:r>
            <w:r w:rsidRPr="002142C2">
              <w:rPr>
                <w:rFonts w:ascii="Times New Roman" w:hAnsi="Times New Roman" w:cs="Times New Roman"/>
              </w:rPr>
              <w:t>. Оставшаяся сумма обеспечения исполнения договора о закупке возвращается поставщику в срок не более 10 (десяти) рабочих дней с даты полного исполнения им своих обязательств по договору.</w:t>
            </w:r>
          </w:p>
          <w:p w14:paraId="1E76E70C" w14:textId="58DC52BA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 xml:space="preserve">В случае нарушения поставщиком исполнения договорных обязательств </w:t>
            </w:r>
            <w:r w:rsidRPr="002142C2">
              <w:rPr>
                <w:rFonts w:ascii="Times New Roman" w:hAnsi="Times New Roman" w:cs="Times New Roman"/>
              </w:rPr>
              <w:t xml:space="preserve">обеспечение исполнения договора Заказчиком </w:t>
            </w:r>
            <w:proofErr w:type="gramStart"/>
            <w:r w:rsidRPr="002142C2">
              <w:rPr>
                <w:rFonts w:ascii="Times New Roman" w:hAnsi="Times New Roman" w:cs="Times New Roman"/>
              </w:rPr>
              <w:t>не удерживается</w:t>
            </w:r>
            <w:proofErr w:type="gramEnd"/>
            <w:r w:rsidRPr="002142C2">
              <w:rPr>
                <w:rFonts w:ascii="Times New Roman" w:hAnsi="Times New Roman" w:cs="Times New Roman"/>
              </w:rPr>
              <w:t xml:space="preserve"> и </w:t>
            </w:r>
            <w:r w:rsidRPr="002142C2">
              <w:rPr>
                <w:rFonts w:ascii="Times New Roman" w:hAnsi="Times New Roman" w:cs="Times New Roman"/>
                <w:b/>
              </w:rPr>
              <w:t>поставщик не вносится в Перечень ненадежных потенциальных поставщиков (поставщиков) Фонда в случаях, которые в совокупности удовлетворяют следующим условиям:</w:t>
            </w:r>
          </w:p>
          <w:p w14:paraId="528A704E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>1) выплата (взыскание/удержание) неустойки (штрафа, пени);</w:t>
            </w:r>
          </w:p>
          <w:p w14:paraId="24033BFA" w14:textId="53808D8E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lastRenderedPageBreak/>
              <w:t>2) полное исполнение поставщиком договорных обязательств;</w:t>
            </w:r>
          </w:p>
          <w:p w14:paraId="382A574C" w14:textId="6096584E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42C2">
              <w:rPr>
                <w:rFonts w:ascii="Times New Roman" w:hAnsi="Times New Roman" w:cs="Times New Roman"/>
                <w:b/>
              </w:rPr>
              <w:t xml:space="preserve">3) отсутствие </w:t>
            </w:r>
            <w:r w:rsidRPr="002142C2">
              <w:rPr>
                <w:rFonts w:ascii="Times New Roman" w:hAnsi="Times New Roman" w:cs="Times New Roman"/>
                <w:b/>
                <w:lang w:val="kk-KZ"/>
              </w:rPr>
              <w:t>ущерба</w:t>
            </w:r>
            <w:r w:rsidRPr="002142C2">
              <w:rPr>
                <w:rFonts w:ascii="Times New Roman" w:hAnsi="Times New Roman" w:cs="Times New Roman"/>
                <w:b/>
              </w:rPr>
              <w:t xml:space="preserve"> или </w:t>
            </w:r>
            <w:r w:rsidRPr="002142C2">
              <w:rPr>
                <w:rFonts w:ascii="Times New Roman" w:hAnsi="Times New Roman" w:cs="Times New Roman"/>
                <w:b/>
                <w:lang w:val="kk-KZ"/>
              </w:rPr>
              <w:t>его</w:t>
            </w:r>
            <w:r w:rsidRPr="002142C2">
              <w:rPr>
                <w:rFonts w:ascii="Times New Roman" w:hAnsi="Times New Roman" w:cs="Times New Roman"/>
                <w:b/>
              </w:rPr>
              <w:t xml:space="preserve"> полное возмещение (взыскание/удержание).</w:t>
            </w:r>
          </w:p>
          <w:p w14:paraId="4B63E33D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</w:tcPr>
          <w:p w14:paraId="521172D3" w14:textId="18105CB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lastRenderedPageBreak/>
              <w:t>Обоснование указано в предыдущем пункте сравнительной таблицы.</w:t>
            </w:r>
          </w:p>
        </w:tc>
        <w:tc>
          <w:tcPr>
            <w:tcW w:w="834" w:type="pct"/>
          </w:tcPr>
          <w:p w14:paraId="49FCB1B8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56345201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7E550FE9" w14:textId="17C3B297" w:rsidTr="005A45C1">
        <w:tc>
          <w:tcPr>
            <w:tcW w:w="132" w:type="pct"/>
          </w:tcPr>
          <w:p w14:paraId="706B9CA7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9" w:type="pct"/>
          </w:tcPr>
          <w:p w14:paraId="6B65968C" w14:textId="3C0D2D2A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П.1 ст.73</w:t>
            </w:r>
          </w:p>
        </w:tc>
        <w:tc>
          <w:tcPr>
            <w:tcW w:w="1017" w:type="pct"/>
          </w:tcPr>
          <w:p w14:paraId="7622FD9B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1.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Закупки с применением особого порядка осуществляются без использования веб-портала закупок в следующих случаях:</w:t>
            </w:r>
          </w:p>
          <w:p w14:paraId="2A8D63CB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………………………..</w:t>
            </w:r>
          </w:p>
          <w:p w14:paraId="334D57A5" w14:textId="66B3A522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  <w:tc>
          <w:tcPr>
            <w:tcW w:w="1053" w:type="pct"/>
          </w:tcPr>
          <w:p w14:paraId="19D002AC" w14:textId="77777777" w:rsidR="00A96DCF" w:rsidRPr="002142C2" w:rsidRDefault="00A96DCF" w:rsidP="00792A37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t>Пункт 1 статьи 73 дополнить подпунктом 17) следующего содержания:</w:t>
            </w:r>
          </w:p>
          <w:p w14:paraId="3928263D" w14:textId="0C4D8F97" w:rsidR="00A96DCF" w:rsidRPr="002142C2" w:rsidRDefault="00A96DCF" w:rsidP="00792A37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17)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приобретение природного газа, воды, услуг водоснабжения и тепловой энергии через присоединенную сеть, а также услуг отвода стоков (канализации);</w:t>
            </w:r>
          </w:p>
        </w:tc>
        <w:tc>
          <w:tcPr>
            <w:tcW w:w="965" w:type="pct"/>
          </w:tcPr>
          <w:p w14:paraId="544FCF12" w14:textId="329538AB" w:rsidR="00A96DCF" w:rsidRPr="002142C2" w:rsidRDefault="00A96DCF" w:rsidP="00282F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Обоснование указано в пункте 19 сравнительной таблицы.</w:t>
            </w:r>
          </w:p>
        </w:tc>
        <w:tc>
          <w:tcPr>
            <w:tcW w:w="834" w:type="pct"/>
          </w:tcPr>
          <w:p w14:paraId="38B23C59" w14:textId="77777777" w:rsidR="00A96DCF" w:rsidRPr="002142C2" w:rsidRDefault="00A96DCF" w:rsidP="00282F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49A6FACF" w14:textId="77777777" w:rsidR="00A96DCF" w:rsidRPr="002142C2" w:rsidRDefault="00A96DCF" w:rsidP="00282F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2AAA9137" w14:textId="57BB8D18" w:rsidTr="005A45C1">
        <w:tc>
          <w:tcPr>
            <w:tcW w:w="132" w:type="pct"/>
          </w:tcPr>
          <w:p w14:paraId="656F64CD" w14:textId="77777777" w:rsidR="00A96DCF" w:rsidRPr="002142C2" w:rsidRDefault="00A96DCF" w:rsidP="003B4B1A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9" w:type="pct"/>
          </w:tcPr>
          <w:p w14:paraId="7D7AF958" w14:textId="780C1FCB" w:rsidR="00A96DCF" w:rsidRPr="002142C2" w:rsidRDefault="00A96DCF" w:rsidP="003B4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П.1 ст.73</w:t>
            </w:r>
          </w:p>
        </w:tc>
        <w:tc>
          <w:tcPr>
            <w:tcW w:w="1017" w:type="pct"/>
          </w:tcPr>
          <w:p w14:paraId="042CB000" w14:textId="77777777" w:rsidR="00A96DCF" w:rsidRPr="002142C2" w:rsidRDefault="00A96DCF" w:rsidP="003B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1.</w:t>
            </w:r>
            <w:r w:rsidRPr="002142C2">
              <w:rPr>
                <w:rFonts w:ascii="Times New Roman" w:eastAsia="Times New Roman" w:hAnsi="Times New Roman" w:cs="Times New Roman"/>
              </w:rPr>
              <w:tab/>
              <w:t>Закупки с применением особого порядка осуществляются без использования веб-портала закупок в следующих случаях:</w:t>
            </w:r>
          </w:p>
          <w:p w14:paraId="4168B037" w14:textId="77777777" w:rsidR="00A96DCF" w:rsidRPr="002142C2" w:rsidRDefault="00A96DCF" w:rsidP="003B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………………………..</w:t>
            </w:r>
          </w:p>
          <w:p w14:paraId="71BC92E3" w14:textId="683CFB01" w:rsidR="00A96DCF" w:rsidRPr="002142C2" w:rsidRDefault="00A96DCF" w:rsidP="003B4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  <w:tc>
          <w:tcPr>
            <w:tcW w:w="1053" w:type="pct"/>
          </w:tcPr>
          <w:p w14:paraId="032AFF75" w14:textId="6E1D530B" w:rsidR="00A96DCF" w:rsidRPr="002142C2" w:rsidRDefault="00A96DCF" w:rsidP="003B4B1A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t>Пункт 1 статьи 73 дополнить подпунктом 18) следующего содержания:</w:t>
            </w:r>
          </w:p>
          <w:p w14:paraId="6A5BFA49" w14:textId="493C06E1" w:rsidR="00A96DCF" w:rsidRPr="002142C2" w:rsidRDefault="00A96DCF" w:rsidP="00E62943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  <w:lang w:val="kk-KZ"/>
              </w:rPr>
              <w:t>18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) приобретение дизельного топлива оператором локомотивной тяги в пассажирском движении, национальными перевозчиками по перевозке пассажиров, багажа,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</w:rPr>
              <w:t>грузобагажа</w:t>
            </w:r>
            <w:proofErr w:type="spellEnd"/>
            <w:r w:rsidRPr="002142C2">
              <w:rPr>
                <w:rFonts w:ascii="Times New Roman" w:eastAsia="Times New Roman" w:hAnsi="Times New Roman" w:cs="Times New Roman"/>
              </w:rPr>
              <w:t xml:space="preserve"> и почтовых отправлений, а также грузов в соответствии с законодательством Республики Казахстан о железнодорожном транспорте, у производителя нефтепродуктов и/или поставщиков нефти в объемах, указанных в плане поставок нефтепродуктов в соответствии с законодательством Республики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Казахстан о государственном регулировании производства и оборота отдельных видов нефтепродуктов.</w:t>
            </w:r>
          </w:p>
        </w:tc>
        <w:tc>
          <w:tcPr>
            <w:tcW w:w="965" w:type="pct"/>
          </w:tcPr>
          <w:p w14:paraId="6693E5C6" w14:textId="5BC687B3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2142C2">
              <w:rPr>
                <w:rFonts w:ascii="Times New Roman" w:hAnsi="Times New Roman" w:cs="Times New Roman"/>
              </w:rPr>
              <w:lastRenderedPageBreak/>
              <w:t xml:space="preserve">АО «Пассажирские перевозки» в соответствии с законодательством РК о ж/д транспорте является национальным перевозчиком пассажиров, 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багажа,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</w:rPr>
              <w:t>грузобагажа</w:t>
            </w:r>
            <w:proofErr w:type="spellEnd"/>
            <w:r w:rsidRPr="002142C2">
              <w:rPr>
                <w:rFonts w:ascii="Times New Roman" w:eastAsia="Times New Roman" w:hAnsi="Times New Roman" w:cs="Times New Roman"/>
              </w:rPr>
              <w:t xml:space="preserve"> и почтовых отправлений</w:t>
            </w:r>
            <w:r w:rsidRPr="002142C2">
              <w:rPr>
                <w:rFonts w:ascii="Times New Roman" w:hAnsi="Times New Roman" w:cs="Times New Roman"/>
              </w:rPr>
              <w:t xml:space="preserve"> (ПП РК от 25.12.2004г. №1389), и обеспечивает порядка 80% всех перевозок пассажиров по социально значимым маршрутам.</w:t>
            </w:r>
          </w:p>
          <w:p w14:paraId="52E2C0E2" w14:textId="77777777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Часть расходов АО «Пассажирские перевозчики», в </w:t>
            </w:r>
            <w:proofErr w:type="spellStart"/>
            <w:r w:rsidRPr="002142C2">
              <w:rPr>
                <w:rFonts w:ascii="Times New Roman" w:hAnsi="Times New Roman" w:cs="Times New Roman"/>
              </w:rPr>
              <w:t>т.ч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. расходы по оплате услуг оператора локомотивной тяги в пассажирском движении (ТОО «КТЖ - Пассажирские </w:t>
            </w:r>
            <w:r w:rsidRPr="002142C2">
              <w:rPr>
                <w:rFonts w:ascii="Times New Roman" w:hAnsi="Times New Roman" w:cs="Times New Roman"/>
              </w:rPr>
              <w:lastRenderedPageBreak/>
              <w:t>локомотивы»), частично субсидируются государством.</w:t>
            </w:r>
          </w:p>
          <w:p w14:paraId="600E83C7" w14:textId="77777777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В этой связи, в целях сокращения расходов из бюджета, в </w:t>
            </w:r>
            <w:proofErr w:type="spellStart"/>
            <w:r w:rsidRPr="002142C2">
              <w:rPr>
                <w:rFonts w:ascii="Times New Roman" w:hAnsi="Times New Roman" w:cs="Times New Roman"/>
              </w:rPr>
              <w:t>т.ч</w:t>
            </w:r>
            <w:proofErr w:type="spellEnd"/>
            <w:r w:rsidRPr="002142C2">
              <w:rPr>
                <w:rFonts w:ascii="Times New Roman" w:hAnsi="Times New Roman" w:cs="Times New Roman"/>
              </w:rPr>
              <w:t>. экономии статей расходов на локомотивную тягу в пассажирском движении, которая также влияет на стоимость проездного билета пассажира, введен механизм кросс-субсидирования через инструмент «временной балансирующей платы» за счет доходов от транзита (п. 5 ст. 12 Закона о ж/д транспорте).</w:t>
            </w:r>
          </w:p>
          <w:p w14:paraId="27E255CA" w14:textId="2081589B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В этой связи, предлагается также включить оператора локомотивной тяги в пассажирском движении в периметр заказчиков дизельного топлива у производителя нефтепродуктов и (или) поставщиков нефти. </w:t>
            </w:r>
          </w:p>
          <w:p w14:paraId="310200D3" w14:textId="77777777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Применение особого порядка для закупок в объемах, указанных в плане поставок нефтепродуктов, связано с требованиями Закона РК «О государственном регулировании производства и оборота отдельных видов нефтепродуктов», согласно п. 7 ст. 18 которого </w:t>
            </w:r>
            <w:r w:rsidRPr="002142C2">
              <w:rPr>
                <w:rFonts w:ascii="Times New Roman" w:hAnsi="Times New Roman" w:cs="Times New Roman"/>
              </w:rPr>
              <w:lastRenderedPageBreak/>
              <w:t>уполномоченный орган в лице Минэнерго ежемесячно утверждает план поставок нефтепродуктов, где указывается:</w:t>
            </w:r>
          </w:p>
          <w:p w14:paraId="34E65B58" w14:textId="77777777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1) перечень поставщиков нефти и производителей нефтепродуктов, за исключением производителей нефтепродуктов малой мощности;</w:t>
            </w:r>
          </w:p>
          <w:p w14:paraId="044B1DC2" w14:textId="77777777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2) объемы каждого вида нефтепродуктов, которые каждый поставщик нефти и производитель нефтепродуктов, обязаны поставить на внутренний рынок РК в предстоящем календарном месяце, в </w:t>
            </w:r>
            <w:proofErr w:type="spellStart"/>
            <w:r w:rsidRPr="002142C2">
              <w:rPr>
                <w:rFonts w:ascii="Times New Roman" w:hAnsi="Times New Roman" w:cs="Times New Roman"/>
              </w:rPr>
              <w:t>т.ч</w:t>
            </w:r>
            <w:proofErr w:type="spellEnd"/>
            <w:r w:rsidRPr="002142C2">
              <w:rPr>
                <w:rFonts w:ascii="Times New Roman" w:hAnsi="Times New Roman" w:cs="Times New Roman"/>
              </w:rPr>
              <w:t>. в рамках прямых поставок.</w:t>
            </w:r>
          </w:p>
          <w:p w14:paraId="659DAB0B" w14:textId="7CFC875D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Следовательно, в случае если указанные в плане поставок нефтепродуктов объемы не покрывают потребность заказчиков, то они должны иметь возможность приобрести недостающие объемы в общем порядке, путем проведения закупок иными способами, предусмотренными Порядком закупок.</w:t>
            </w:r>
          </w:p>
        </w:tc>
        <w:tc>
          <w:tcPr>
            <w:tcW w:w="834" w:type="pct"/>
          </w:tcPr>
          <w:p w14:paraId="46902EB2" w14:textId="77777777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5120A749" w14:textId="77777777" w:rsidR="00A96DCF" w:rsidRPr="002142C2" w:rsidRDefault="00A96DCF" w:rsidP="00BD01E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4D88AA21" w14:textId="314EF0F0" w:rsidTr="005A45C1">
        <w:tc>
          <w:tcPr>
            <w:tcW w:w="132" w:type="pct"/>
          </w:tcPr>
          <w:p w14:paraId="066F8501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9" w:type="pct"/>
          </w:tcPr>
          <w:p w14:paraId="7F4E2A03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</w:t>
            </w:r>
            <w:r w:rsidRPr="002142C2">
              <w:rPr>
                <w:rFonts w:ascii="Times New Roman" w:hAnsi="Times New Roman" w:cs="Times New Roman"/>
                <w:bCs/>
                <w:color w:val="000000"/>
              </w:rPr>
              <w:t>.3 Приложения 5</w:t>
            </w:r>
          </w:p>
        </w:tc>
        <w:tc>
          <w:tcPr>
            <w:tcW w:w="1017" w:type="pct"/>
          </w:tcPr>
          <w:p w14:paraId="74AEAD32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Требование о предоставлении потенциальными поставщиками в составе тендерной заявки сведений о марке/модели,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наименовании производителя, стране происхождения товара и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>контактных данных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 производителя (официального представителя)</w:t>
            </w:r>
            <w:r w:rsidRPr="002142C2">
              <w:rPr>
                <w:rFonts w:ascii="Times New Roman" w:eastAsia="Times New Roman" w:hAnsi="Times New Roman" w:cs="Times New Roman"/>
              </w:rPr>
              <w:tab/>
            </w:r>
          </w:p>
          <w:p w14:paraId="6C375DF5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1C7784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Установление данного требования является правом Заказчика/организатора закупок.</w:t>
            </w:r>
          </w:p>
          <w:p w14:paraId="1621D201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Может быть установлено при закупках товаров.</w:t>
            </w:r>
          </w:p>
          <w:p w14:paraId="2A823C0B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pct"/>
          </w:tcPr>
          <w:p w14:paraId="03602D2C" w14:textId="4F635AE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lastRenderedPageBreak/>
              <w:t>Столбец «Содержимое» строки 3 Приложения № 5 к Порядку изложить в следующей редакции:</w:t>
            </w:r>
          </w:p>
          <w:p w14:paraId="3E2C06CD" w14:textId="0A68CD63" w:rsidR="00A96DCF" w:rsidRPr="002142C2" w:rsidRDefault="00A96DCF" w:rsidP="00792A37">
            <w:pPr>
              <w:pStyle w:val="TableParagraph"/>
              <w:jc w:val="both"/>
            </w:pPr>
            <w:r w:rsidRPr="002142C2">
              <w:lastRenderedPageBreak/>
              <w:t xml:space="preserve">Требование о предоставлении потенциальными поставщиками в составе тендерной заявки сведений о марке/модели, наименовании производителя, стране происхождения товара, </w:t>
            </w:r>
            <w:r w:rsidRPr="002142C2">
              <w:rPr>
                <w:b/>
              </w:rPr>
              <w:t>а также адреса</w:t>
            </w:r>
            <w:r w:rsidRPr="002142C2">
              <w:t xml:space="preserve"> </w:t>
            </w:r>
            <w:r w:rsidRPr="002142C2">
              <w:rPr>
                <w:rFonts w:eastAsia="Arial"/>
                <w:b/>
                <w:color w:val="000000"/>
              </w:rPr>
              <w:t>официального веб-сайта производителя или письма от производителя либо его официального представителя (дилера или дистрибьютера) (с предоставлением документа от производителя, подтверждающего статус официального представителя)</w:t>
            </w:r>
          </w:p>
          <w:p w14:paraId="4C7EA543" w14:textId="2F35CDFC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463701" w14:textId="7BC427EE" w:rsidR="00A96DCF" w:rsidRPr="002142C2" w:rsidRDefault="00A96DCF" w:rsidP="00792A37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t>В столбце «Примечание» строки 3 Приложения № 5 к Порядку абзац второй изложить в следующей редакции:</w:t>
            </w:r>
          </w:p>
          <w:p w14:paraId="5DB9065D" w14:textId="7B1E9A2C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Может быть установлено при закупках товаров,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>за исключением проведения закупок среди товаропроизводителей закупаемого товара, организаций инвалидов (физических лиц - инвалидов, осуществляющих предпринимательскую деятельность).</w:t>
            </w:r>
          </w:p>
        </w:tc>
        <w:tc>
          <w:tcPr>
            <w:tcW w:w="965" w:type="pct"/>
          </w:tcPr>
          <w:p w14:paraId="1E36184C" w14:textId="3614B83A" w:rsidR="00A96DCF" w:rsidRPr="002142C2" w:rsidRDefault="00A96DCF" w:rsidP="007A5E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Обоснование указано в пункте 9 СТ.</w:t>
            </w:r>
          </w:p>
        </w:tc>
        <w:tc>
          <w:tcPr>
            <w:tcW w:w="834" w:type="pct"/>
          </w:tcPr>
          <w:p w14:paraId="51143068" w14:textId="77777777" w:rsidR="00A96DCF" w:rsidRPr="002142C2" w:rsidRDefault="00A96DCF" w:rsidP="00A96D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3C7DE215" w14:textId="77777777" w:rsidR="00A96DCF" w:rsidRPr="002142C2" w:rsidRDefault="00A96DCF" w:rsidP="00A96D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56A7F277" w14:textId="33CC3386" w:rsidTr="005A45C1">
        <w:tc>
          <w:tcPr>
            <w:tcW w:w="132" w:type="pct"/>
          </w:tcPr>
          <w:p w14:paraId="0EF3A535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9" w:type="pct"/>
          </w:tcPr>
          <w:p w14:paraId="3415A757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</w:t>
            </w:r>
            <w:r w:rsidRPr="002142C2">
              <w:rPr>
                <w:rFonts w:ascii="Times New Roman" w:hAnsi="Times New Roman" w:cs="Times New Roman"/>
                <w:bCs/>
                <w:color w:val="000000"/>
              </w:rPr>
              <w:t>.4 Приложения 5</w:t>
            </w:r>
          </w:p>
        </w:tc>
        <w:tc>
          <w:tcPr>
            <w:tcW w:w="1017" w:type="pct"/>
          </w:tcPr>
          <w:p w14:paraId="3DC17A37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Квалификационные требования, предусматривающие наличие у потенциального поставщика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 xml:space="preserve">опыта работы в течение последних 5 (пяти) лет, на рынке закупаемых однородных работ, услуг </w:t>
            </w:r>
            <w:r w:rsidRPr="002142C2">
              <w:rPr>
                <w:rFonts w:ascii="Times New Roman" w:eastAsia="Times New Roman" w:hAnsi="Times New Roman" w:cs="Times New Roman"/>
                <w:b/>
                <w:strike/>
              </w:rPr>
              <w:t>или в определенной отрасли</w:t>
            </w:r>
            <w:r w:rsidRPr="002142C2">
              <w:rPr>
                <w:rFonts w:ascii="Times New Roman" w:eastAsia="Times New Roman" w:hAnsi="Times New Roman" w:cs="Times New Roman"/>
              </w:rPr>
              <w:t>, подтвержденного соответствующими актами, подтверждающими прием-передачу выполненных работ, оказанных услуг, совокупный объем которых по одному договору, в каждом году составляет не менее 75 миллионов тенге без учета НДС, и счетами-фактурами (при выписке счета-фактуры на бумажном носителе в соответствии с законодательством Республики Казахстан) или электронными счетами-фактурами, загруженными из информационной системы электронных счетов-фактур посредством интеграции веб-портала закупок с информационной системой электронных счетов-фактур, за исключением случаев, если выписка счет-фактуры (электронной счет-фактуры) не требуется в соответствии с законодательством Республики Казахстан.</w:t>
            </w:r>
          </w:p>
          <w:p w14:paraId="6BC1DFE6" w14:textId="5B2C846B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pct"/>
          </w:tcPr>
          <w:p w14:paraId="07B77D15" w14:textId="77777777" w:rsidR="00A96DCF" w:rsidRPr="002142C2" w:rsidRDefault="00A96DCF" w:rsidP="00792A37">
            <w:pPr>
              <w:tabs>
                <w:tab w:val="left" w:pos="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 строке 4 Приложения № 5 к Порядку абзац первый столбца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lastRenderedPageBreak/>
              <w:t>«Содержимое» изложить в следующей редакции:</w:t>
            </w:r>
          </w:p>
          <w:p w14:paraId="43DEDB72" w14:textId="3A1BE4FD" w:rsidR="00A96DCF" w:rsidRPr="002142C2" w:rsidRDefault="00A96DCF" w:rsidP="00831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Квалификационные требования, предусматривающие наличие у потенциального поставщика опыта работы в течение последних 5 (пяти) лет, на рынке закупаемых однородных работ, услуг, подтвержденного соответствующими актами, подтверждающими прием-передачу выполненных работ, оказанных услуг, совокупный объем которых по одному договору, в каждом году составляет не менее 75 миллионов тенге без учета НДС, и счетами-фактурами (при выписке счета-фактуры на бумажном носителе в соответствии с законодательством Республики Казахстан) или электронными счетами-фактурами, загруженными из информационной системы электронных счетов-фактур посредством интеграции веб-портала закупок с информационной системой электронных счетов-фактур, за исключением случаев, если выписка счет-фактуры (электронной счет-фактуры) не требуется в соответствии с законодательством Республики Казахстан.</w:t>
            </w:r>
          </w:p>
        </w:tc>
        <w:tc>
          <w:tcPr>
            <w:tcW w:w="965" w:type="pct"/>
          </w:tcPr>
          <w:p w14:paraId="52CA64E6" w14:textId="063F991D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 xml:space="preserve">На сегодняшний день, в соответствии с действующим Порядком, у Заказчика </w:t>
            </w:r>
            <w:r w:rsidRPr="002142C2">
              <w:rPr>
                <w:rFonts w:ascii="Times New Roman" w:hAnsi="Times New Roman" w:cs="Times New Roman"/>
              </w:rPr>
              <w:lastRenderedPageBreak/>
              <w:t xml:space="preserve">имеется возможность предъявлять к потенциальному поставщику требования относительно опыта оказания потенциальным поставщиком услуг в отдельных специфичных отраслях: например, в нефтегазовой, газовой отраслях. При этом, учитывая отсутствие в законодательстве РК понятия «отрасли» на практике возникают трудности с установлением требований по опыту работы в определенной отрасли, что в последующем вызывает споры и разногласия со стороны бизнеса. </w:t>
            </w:r>
          </w:p>
          <w:p w14:paraId="44595D87" w14:textId="7AA4C731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К примеру, инжиниринговые услуги оказываются в соответствии с действующим архитектурно-строительным законодательством и, прежде всего, Правилами оказания инжиниринговых услуг, наличие какой-либо отдельной спецификой услуги технического надзора в отношении разного вида объектов строительства не предполагается, тогда как данное положение предоставляет Заказчику возможность установить требование к опыту оказания </w:t>
            </w:r>
            <w:r w:rsidRPr="002142C2">
              <w:rPr>
                <w:rFonts w:ascii="Times New Roman" w:hAnsi="Times New Roman" w:cs="Times New Roman"/>
              </w:rPr>
              <w:lastRenderedPageBreak/>
              <w:t>инжиниринговых в конкретной отрасли.</w:t>
            </w:r>
          </w:p>
          <w:p w14:paraId="1E7AAC5F" w14:textId="23EBEEE8" w:rsidR="00A96DCF" w:rsidRPr="002142C2" w:rsidRDefault="00A96DCF" w:rsidP="00792A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связи с этим, в целях повышения прозрачности процесса закупок предлагается исключить возможность установления требований к опыту работы в определенной Заказчиком отрасли.</w:t>
            </w:r>
          </w:p>
          <w:p w14:paraId="7F474838" w14:textId="27440AD9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14:paraId="6DC71BB3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3BE16E53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DCF" w:rsidRPr="002142C2" w14:paraId="65B7E70D" w14:textId="197669F1" w:rsidTr="005A45C1">
        <w:tc>
          <w:tcPr>
            <w:tcW w:w="132" w:type="pct"/>
          </w:tcPr>
          <w:p w14:paraId="040DB625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" w:type="pct"/>
          </w:tcPr>
          <w:p w14:paraId="1D116709" w14:textId="77777777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left="32"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П.5 Приложения 5</w:t>
            </w:r>
          </w:p>
        </w:tc>
        <w:tc>
          <w:tcPr>
            <w:tcW w:w="1017" w:type="pct"/>
          </w:tcPr>
          <w:p w14:paraId="3FAA8396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gramStart"/>
            <w:r w:rsidRPr="002142C2">
              <w:rPr>
                <w:rFonts w:ascii="Times New Roman" w:eastAsia="Times New Roman" w:hAnsi="Times New Roman" w:cs="Times New Roman"/>
              </w:rPr>
              <w:t>у потенциального поставщика</w:t>
            </w:r>
            <w:proofErr w:type="gramEnd"/>
            <w:r w:rsidRPr="002142C2">
              <w:rPr>
                <w:rFonts w:ascii="Times New Roman" w:eastAsia="Times New Roman" w:hAnsi="Times New Roman" w:cs="Times New Roman"/>
              </w:rPr>
              <w:t xml:space="preserve"> соответствующего(их) специалиста(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</w:rPr>
              <w:t>ов</w:t>
            </w:r>
            <w:proofErr w:type="spellEnd"/>
            <w:r w:rsidRPr="002142C2">
              <w:rPr>
                <w:rFonts w:ascii="Times New Roman" w:eastAsia="Times New Roman" w:hAnsi="Times New Roman" w:cs="Times New Roman"/>
              </w:rPr>
              <w:t>) подтверждается актом потенциального поставщика о приеме на работу заявленного специалиста.</w:t>
            </w:r>
          </w:p>
          <w:p w14:paraId="0B86D7A1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t>В случае отсутствия акта о приеме на работу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 потенциальным поставщиком предоставляются электронные копии документа, удостоверяющего личность специалиста, и подписанного им согласия на привлечение его в качестве специалиста по форме согласно Приложению № 14 к Порядку.</w:t>
            </w:r>
          </w:p>
        </w:tc>
        <w:tc>
          <w:tcPr>
            <w:tcW w:w="1053" w:type="pct"/>
          </w:tcPr>
          <w:p w14:paraId="4F0AEF90" w14:textId="77777777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lang w:val="kk-KZ"/>
              </w:rPr>
              <w:t>В строке 5 абзацы пятый и шестой столбца «Примечание» изложить в следующей редакции:</w:t>
            </w:r>
          </w:p>
          <w:p w14:paraId="71954A5D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gramStart"/>
            <w:r w:rsidRPr="002142C2">
              <w:rPr>
                <w:rFonts w:ascii="Times New Roman" w:eastAsia="Times New Roman" w:hAnsi="Times New Roman" w:cs="Times New Roman"/>
              </w:rPr>
              <w:t>у потенциального поставщика</w:t>
            </w:r>
            <w:proofErr w:type="gramEnd"/>
            <w:r w:rsidRPr="002142C2">
              <w:rPr>
                <w:rFonts w:ascii="Times New Roman" w:eastAsia="Times New Roman" w:hAnsi="Times New Roman" w:cs="Times New Roman"/>
              </w:rPr>
              <w:t xml:space="preserve"> соответствующего(их) специалиста(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</w:rPr>
              <w:t>ов</w:t>
            </w:r>
            <w:proofErr w:type="spellEnd"/>
            <w:r w:rsidRPr="002142C2">
              <w:rPr>
                <w:rFonts w:ascii="Times New Roman" w:eastAsia="Times New Roman" w:hAnsi="Times New Roman" w:cs="Times New Roman"/>
              </w:rPr>
              <w:t xml:space="preserve">) подтверждается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>электронной копией документа, удостоверяющего личность специалиста,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 и актом потенциального поставщика о приеме на работу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 xml:space="preserve"> или актом потенциального поставщика о переводе на другую работу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 заявленного специалиста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>или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 подписанного им согласия на привлечение его в качестве специалиста по форме согласно Приложению № 14 к Порядку.</w:t>
            </w:r>
          </w:p>
          <w:p w14:paraId="5CBFFE8B" w14:textId="77777777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993538" w14:textId="77777777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lang w:val="kk-KZ"/>
              </w:rPr>
              <w:t>Столбец «Примечание» строки 5 Приложения № 5 к Порядку д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b/>
              </w:rPr>
              <w:t>ополнить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b/>
              </w:rPr>
              <w:t xml:space="preserve"> абзацем восьмым следующего содержания:</w:t>
            </w:r>
          </w:p>
          <w:p w14:paraId="0752D6F0" w14:textId="535C3ACD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При этом опыт работника учитывается за последние 10 (десять) лет.</w:t>
            </w:r>
          </w:p>
        </w:tc>
        <w:tc>
          <w:tcPr>
            <w:tcW w:w="965" w:type="pct"/>
          </w:tcPr>
          <w:p w14:paraId="100C6020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Предлагается предоставить потенциальным поставщикам возможность для подтверждения наличия соответствующего специалиста предоставлять на свое усмотрение либо приказ о приеме на работу, либо согласие, подписанное данным специалистом.</w:t>
            </w:r>
          </w:p>
          <w:p w14:paraId="45D0622C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На практике некоторые потенциальные поставщики предоставляют согласие специалиста даже в случае наличия данного работника в штате, в связи с чем заявки таких поставщиков подлежат отклонению и вызывают излишнее обжалование.</w:t>
            </w:r>
          </w:p>
          <w:p w14:paraId="22D45311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Также в связи с тем, что на практике имеет место случаи предоставления приказов о переводе работников на другую работу, предлагается указать возможность предоставления данных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документов в качестве подтверждения наличия соответствующего специалиста.</w:t>
            </w:r>
          </w:p>
          <w:p w14:paraId="3BDD5122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5314D0" w14:textId="0FD05EB5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Также в целях повышения качества закупок по аналогии с государственными закупками предлагается ограничить засчитываемый опыт работы специалистов последними 10 годами.</w:t>
            </w:r>
          </w:p>
        </w:tc>
        <w:tc>
          <w:tcPr>
            <w:tcW w:w="834" w:type="pct"/>
          </w:tcPr>
          <w:p w14:paraId="16A48EE9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" w:type="pct"/>
          </w:tcPr>
          <w:p w14:paraId="6ECB0203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6DCF" w:rsidRPr="002142C2" w14:paraId="326F8C09" w14:textId="6EBE234D" w:rsidTr="005A45C1">
        <w:tc>
          <w:tcPr>
            <w:tcW w:w="132" w:type="pct"/>
          </w:tcPr>
          <w:p w14:paraId="73339A9E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" w:type="pct"/>
          </w:tcPr>
          <w:p w14:paraId="1DBFA646" w14:textId="6E7582AA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left="32"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П.12 Приложения 5</w:t>
            </w:r>
          </w:p>
        </w:tc>
        <w:tc>
          <w:tcPr>
            <w:tcW w:w="1017" w:type="pct"/>
          </w:tcPr>
          <w:p w14:paraId="12FBE8E0" w14:textId="572A6A91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Требование о предоставлении разрешения (лицензии), выданного в соответствии с законодательством Республики Казахстан о разрешениях и уведомлениях, с указанием на соответствующую(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 w:rsidRPr="002142C2">
              <w:rPr>
                <w:rFonts w:ascii="Times New Roman" w:eastAsia="Times New Roman" w:hAnsi="Times New Roman" w:cs="Times New Roman"/>
              </w:rPr>
              <w:t xml:space="preserve">) лицензию(и) и иные разрешительные документы, а также виды (подвиды) деятельности, подлежащих разрешению (лицензированию) в соответствии с законодательством Республики Казахстан. </w:t>
            </w:r>
          </w:p>
          <w:p w14:paraId="11472AE6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5A7D1B" w14:textId="6521A7AC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Указывается в случае приобретения товаров, работ и услуг, поставка, выполнение и оказание которых подлежит обязательному лицензированию или получению другого разрешительного документа в соответствии с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законодательством Республики Казахстан</w:t>
            </w:r>
          </w:p>
        </w:tc>
        <w:tc>
          <w:tcPr>
            <w:tcW w:w="1053" w:type="pct"/>
          </w:tcPr>
          <w:p w14:paraId="70EE4786" w14:textId="0AA41841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lastRenderedPageBreak/>
              <w:t>Столбец «Содержимое» строки 12 Приложения № 5 к Порядку изложить в следующей редакции:</w:t>
            </w:r>
          </w:p>
          <w:p w14:paraId="6A0CC760" w14:textId="53C2BD8A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Требование о предоставлении разрешения (лицензии), выданного в соответствии с законодательством Республики Казахстан о разрешениях и уведомлениях, с указанием на соответствующую(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 w:rsidRPr="002142C2">
              <w:rPr>
                <w:rFonts w:ascii="Times New Roman" w:eastAsia="Times New Roman" w:hAnsi="Times New Roman" w:cs="Times New Roman"/>
              </w:rPr>
              <w:t xml:space="preserve">) лицензию(и) и иные разрешительные документы, а также виды (подвиды) деятельности, подлежащих разрешению (лицензированию) в соответствии с законодательством Республики Казахстан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>о разрешениях и уведомлениях.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49A3BE" w14:textId="777EB01C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B01450" w14:textId="31451AF4" w:rsidR="00A96DCF" w:rsidRPr="002142C2" w:rsidRDefault="00A96DCF" w:rsidP="003638BC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t xml:space="preserve">Столбец «Примечание» строки 12 Приложения № 5 к Порядку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lastRenderedPageBreak/>
              <w:t>изложить в следующей редакции:</w:t>
            </w:r>
          </w:p>
          <w:p w14:paraId="167E5F0F" w14:textId="25D3FAE9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Указывается в случае приобретения товаров, работ и услуг, поставка, выполнение и оказание которых подлежит обязательному лицензированию или получению другого разрешительного документа в соответствии с законодательством Республики Казахстан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>о разрешениях и уведомлениях</w:t>
            </w:r>
          </w:p>
        </w:tc>
        <w:tc>
          <w:tcPr>
            <w:tcW w:w="965" w:type="pct"/>
          </w:tcPr>
          <w:p w14:paraId="4F76658B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lastRenderedPageBreak/>
              <w:t>Уточняющая правка.</w:t>
            </w:r>
          </w:p>
          <w:p w14:paraId="09118BA8" w14:textId="2B0F6A44" w:rsidR="00A96DCF" w:rsidRPr="002142C2" w:rsidRDefault="00A96DCF" w:rsidP="00F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lang w:val="kk-KZ"/>
              </w:rPr>
              <w:t>Согласно пункту 12 Приложения № 5 к Порядку устанавливаются требования только в соответствии с Законом РК «О разрешениях и уведомлениях».</w:t>
            </w:r>
          </w:p>
        </w:tc>
        <w:tc>
          <w:tcPr>
            <w:tcW w:w="834" w:type="pct"/>
          </w:tcPr>
          <w:p w14:paraId="10793B87" w14:textId="77777777" w:rsidR="00A96DCF" w:rsidRDefault="00A96DC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14:paraId="39F1E8B5" w14:textId="77777777" w:rsidR="00A96DCF" w:rsidRPr="002142C2" w:rsidRDefault="00A96DCF" w:rsidP="00F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" w:type="pct"/>
          </w:tcPr>
          <w:p w14:paraId="032AD72F" w14:textId="77777777" w:rsidR="00A96DCF" w:rsidRDefault="00A96DC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14:paraId="0F5D2395" w14:textId="77777777" w:rsidR="00A96DCF" w:rsidRPr="002142C2" w:rsidRDefault="00A96DCF" w:rsidP="00F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69A9" w:rsidRPr="002142C2" w14:paraId="57CAF13B" w14:textId="7D64F18D" w:rsidTr="005A45C1">
        <w:tc>
          <w:tcPr>
            <w:tcW w:w="132" w:type="pct"/>
          </w:tcPr>
          <w:p w14:paraId="5B27CF3D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" w:type="pct"/>
          </w:tcPr>
          <w:p w14:paraId="2146381F" w14:textId="77777777" w:rsidR="00A96DCF" w:rsidRPr="002142C2" w:rsidRDefault="00A96DCF" w:rsidP="00792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142C2">
              <w:rPr>
                <w:rFonts w:ascii="Times New Roman" w:hAnsi="Times New Roman" w:cs="Times New Roman"/>
                <w:bCs/>
                <w:color w:val="000000"/>
              </w:rPr>
              <w:t>п.п</w:t>
            </w:r>
            <w:proofErr w:type="spellEnd"/>
            <w:r w:rsidRPr="002142C2">
              <w:rPr>
                <w:rFonts w:ascii="Times New Roman" w:hAnsi="Times New Roman" w:cs="Times New Roman"/>
                <w:bCs/>
                <w:color w:val="000000"/>
              </w:rPr>
              <w:t>. 6) п. 15 Приложения № 5 к Порядку</w:t>
            </w:r>
          </w:p>
        </w:tc>
        <w:tc>
          <w:tcPr>
            <w:tcW w:w="1017" w:type="pct"/>
          </w:tcPr>
          <w:p w14:paraId="1DE3B263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соответствие статусу субъекта малого или среднего предпринимательства (условное снижение цены на 1%) на основе документа(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выданного(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соответствии с законодательством Республики Казахстан.</w:t>
            </w:r>
          </w:p>
        </w:tc>
        <w:tc>
          <w:tcPr>
            <w:tcW w:w="1053" w:type="pct"/>
          </w:tcPr>
          <w:p w14:paraId="7A5B595B" w14:textId="709E4A3F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Абзац первый подпункта 6) строки 15 Приложения № 5 к Порядку изложить в следующей редакции:</w:t>
            </w:r>
          </w:p>
          <w:p w14:paraId="433F517D" w14:textId="74685E25" w:rsidR="00A96DCF" w:rsidRPr="002142C2" w:rsidRDefault="00A96DCF" w:rsidP="003638BC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соответствие статусу субъекта малого или среднего предпринимательства (условное снижение цены на 1%) на основе документа(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выданного(</w:t>
            </w:r>
            <w:proofErr w:type="spellStart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214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соответствии с законодательством Республики Казахстан,</w:t>
            </w:r>
            <w:r w:rsidRPr="002142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случае, если сумма, выделенная для осуществления закупки по лоту без учета НДС, не превышает 1 500 000 МРП.</w:t>
            </w:r>
          </w:p>
        </w:tc>
        <w:tc>
          <w:tcPr>
            <w:tcW w:w="965" w:type="pct"/>
          </w:tcPr>
          <w:p w14:paraId="6F25F3DC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В настоящее время, условная скидка за статус субъекта малого или среднего предпринимательства присваивается не зависимо от стоимости закупки.</w:t>
            </w:r>
          </w:p>
          <w:p w14:paraId="1E093BC1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Согласно ст. 24 Предпринимательского кодекса, среднегодовой доход субъектов малого бизнеса не должен превышать 300 000 МРП, среднего бизнеса – 3 000 000 МРП.</w:t>
            </w:r>
          </w:p>
          <w:p w14:paraId="63462644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 xml:space="preserve">В связи с вышеизложенным, предлагается внести ограничение по стоимости закупки к усредненному показателю, а именно 1 500 000 МРП, т.к. субъекты среднего предпринимательства чаще всего кроме выигранного </w:t>
            </w:r>
            <w:r w:rsidRPr="002142C2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контракта имеют доходы от других контрактов.</w:t>
            </w:r>
          </w:p>
          <w:p w14:paraId="1536DFAA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Кроме того, есть факты, когда субъект среднего предпринимательства по факту является крупным, но документально показывает себя как средний.</w:t>
            </w:r>
          </w:p>
          <w:p w14:paraId="102F640D" w14:textId="415F00A0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Данная мера способствует справедливой конкуренции субъектов бизнеса на всех закупках Фонда, при этом, сохраняется поддержка МСБ.</w:t>
            </w:r>
          </w:p>
          <w:p w14:paraId="752F31E1" w14:textId="40B58A43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42C2">
              <w:rPr>
                <w:rFonts w:ascii="Times New Roman" w:hAnsi="Times New Roman" w:cs="Times New Roman"/>
                <w:bCs/>
                <w:color w:val="000000"/>
              </w:rPr>
              <w:t>Вносится по предложению НПП РК «</w:t>
            </w:r>
            <w:proofErr w:type="spellStart"/>
            <w:r w:rsidRPr="002142C2">
              <w:rPr>
                <w:rFonts w:ascii="Times New Roman" w:hAnsi="Times New Roman" w:cs="Times New Roman"/>
                <w:bCs/>
                <w:color w:val="000000"/>
              </w:rPr>
              <w:t>Атамекен</w:t>
            </w:r>
            <w:proofErr w:type="spellEnd"/>
            <w:r w:rsidRPr="002142C2">
              <w:rPr>
                <w:rFonts w:ascii="Times New Roman" w:hAnsi="Times New Roman" w:cs="Times New Roman"/>
                <w:bCs/>
                <w:color w:val="000000"/>
              </w:rPr>
              <w:t>».</w:t>
            </w:r>
          </w:p>
        </w:tc>
        <w:tc>
          <w:tcPr>
            <w:tcW w:w="834" w:type="pct"/>
          </w:tcPr>
          <w:p w14:paraId="677EF64B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1" w:type="pct"/>
          </w:tcPr>
          <w:p w14:paraId="24939E2B" w14:textId="77777777" w:rsidR="00A96DCF" w:rsidRPr="002142C2" w:rsidRDefault="00A96DCF" w:rsidP="00792A37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B5DCD" w:rsidRPr="002142C2" w14:paraId="048AE0C1" w14:textId="0416E2DF" w:rsidTr="005A45C1">
        <w:tc>
          <w:tcPr>
            <w:tcW w:w="132" w:type="pct"/>
          </w:tcPr>
          <w:p w14:paraId="579A1EA0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4E95B9AA" w14:textId="27DCE9FF" w:rsidR="00A96DCF" w:rsidRPr="002142C2" w:rsidRDefault="00A96DCF" w:rsidP="00792A37">
            <w:pPr>
              <w:pStyle w:val="TableParagraph"/>
              <w:ind w:left="126"/>
            </w:pPr>
            <w:r w:rsidRPr="002142C2">
              <w:t>П.4 Приложения 6</w:t>
            </w:r>
          </w:p>
        </w:tc>
        <w:tc>
          <w:tcPr>
            <w:tcW w:w="1017" w:type="pct"/>
          </w:tcPr>
          <w:p w14:paraId="1ADBB7F2" w14:textId="5BEAC7AE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Сведения о марке/модели, наименовании производителя, стране происхождения товара и </w:t>
            </w:r>
            <w:r w:rsidRPr="002142C2">
              <w:rPr>
                <w:b/>
              </w:rPr>
              <w:t>контактные данные производителя (официального представителя)</w:t>
            </w:r>
          </w:p>
          <w:p w14:paraId="58FB55CC" w14:textId="41E7E480" w:rsidR="00A96DCF" w:rsidRPr="002142C2" w:rsidRDefault="00A96DCF" w:rsidP="00792A37">
            <w:pPr>
              <w:pStyle w:val="TableParagraph"/>
              <w:jc w:val="both"/>
            </w:pPr>
          </w:p>
          <w:p w14:paraId="7835DCA3" w14:textId="455E46C3" w:rsidR="00A96DCF" w:rsidRPr="002142C2" w:rsidRDefault="00A96DCF" w:rsidP="00792A37">
            <w:pPr>
              <w:pStyle w:val="TableParagraph"/>
              <w:jc w:val="both"/>
            </w:pPr>
          </w:p>
          <w:p w14:paraId="4CCD6FE5" w14:textId="004A81DB" w:rsidR="00A96DCF" w:rsidRPr="002142C2" w:rsidRDefault="00A96DCF" w:rsidP="00792A37">
            <w:pPr>
              <w:pStyle w:val="TableParagraph"/>
              <w:jc w:val="both"/>
            </w:pPr>
          </w:p>
          <w:p w14:paraId="456463FC" w14:textId="4A522537" w:rsidR="00A96DCF" w:rsidRPr="002142C2" w:rsidRDefault="00A96DCF" w:rsidP="00792A37">
            <w:pPr>
              <w:pStyle w:val="TableParagraph"/>
              <w:jc w:val="both"/>
            </w:pPr>
          </w:p>
          <w:p w14:paraId="4C6A87EB" w14:textId="65396BFC" w:rsidR="00A96DCF" w:rsidRPr="002142C2" w:rsidRDefault="00A96DCF" w:rsidP="00792A37">
            <w:pPr>
              <w:pStyle w:val="TableParagraph"/>
              <w:jc w:val="both"/>
            </w:pPr>
          </w:p>
          <w:p w14:paraId="66F09B54" w14:textId="102C7624" w:rsidR="00A96DCF" w:rsidRPr="002142C2" w:rsidRDefault="00A96DCF" w:rsidP="00792A37">
            <w:pPr>
              <w:pStyle w:val="TableParagraph"/>
              <w:jc w:val="both"/>
            </w:pPr>
          </w:p>
          <w:p w14:paraId="14BD0325" w14:textId="322E6188" w:rsidR="00A96DCF" w:rsidRPr="002142C2" w:rsidRDefault="00A96DCF" w:rsidP="00792A37">
            <w:pPr>
              <w:pStyle w:val="TableParagraph"/>
              <w:jc w:val="both"/>
            </w:pPr>
          </w:p>
          <w:p w14:paraId="38607600" w14:textId="679B9E70" w:rsidR="00A96DCF" w:rsidRPr="002142C2" w:rsidRDefault="00A96DCF" w:rsidP="00792A37">
            <w:pPr>
              <w:pStyle w:val="TableParagraph"/>
              <w:jc w:val="both"/>
            </w:pPr>
          </w:p>
          <w:p w14:paraId="581A109E" w14:textId="77777777" w:rsidR="00A96DCF" w:rsidRPr="002142C2" w:rsidRDefault="00A96DCF" w:rsidP="00792A37">
            <w:pPr>
              <w:pStyle w:val="TableParagraph"/>
              <w:jc w:val="both"/>
            </w:pPr>
          </w:p>
          <w:p w14:paraId="7FDE0D11" w14:textId="77777777" w:rsidR="00A96DCF" w:rsidRPr="002142C2" w:rsidRDefault="00A96DCF" w:rsidP="00792A37">
            <w:pPr>
              <w:pStyle w:val="TableParagraph"/>
              <w:jc w:val="both"/>
            </w:pPr>
          </w:p>
          <w:p w14:paraId="06D61C99" w14:textId="5F13DFF0" w:rsidR="00A96DCF" w:rsidRPr="002142C2" w:rsidRDefault="00A96DCF" w:rsidP="00792A37">
            <w:pPr>
              <w:pStyle w:val="TableParagraph"/>
              <w:jc w:val="both"/>
            </w:pPr>
          </w:p>
          <w:p w14:paraId="1882E989" w14:textId="77777777" w:rsidR="00A96DCF" w:rsidRPr="002142C2" w:rsidRDefault="00A96DCF" w:rsidP="00792A37">
            <w:pPr>
              <w:pStyle w:val="TableParagraph"/>
              <w:jc w:val="both"/>
            </w:pPr>
          </w:p>
          <w:p w14:paraId="255BACE3" w14:textId="5AB66789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Предоставляется </w:t>
            </w:r>
            <w:r w:rsidRPr="002142C2">
              <w:rPr>
                <w:b/>
              </w:rPr>
              <w:t>в форме электронного документа.</w:t>
            </w:r>
          </w:p>
          <w:p w14:paraId="297F41CC" w14:textId="30A55419" w:rsidR="00A96DCF" w:rsidRPr="002142C2" w:rsidRDefault="00A96DCF" w:rsidP="00792A37">
            <w:pPr>
              <w:pStyle w:val="TableParagraph"/>
              <w:jc w:val="both"/>
            </w:pPr>
          </w:p>
          <w:p w14:paraId="519801A5" w14:textId="4F840A7B" w:rsidR="00A96DCF" w:rsidRPr="002142C2" w:rsidRDefault="00A96DCF" w:rsidP="00792A37">
            <w:pPr>
              <w:pStyle w:val="TableParagraph"/>
              <w:jc w:val="both"/>
            </w:pPr>
          </w:p>
          <w:p w14:paraId="1792EDF9" w14:textId="041C1F94" w:rsidR="00A96DCF" w:rsidRPr="002142C2" w:rsidRDefault="00A96DCF" w:rsidP="00792A37">
            <w:pPr>
              <w:pStyle w:val="TableParagraph"/>
              <w:jc w:val="both"/>
            </w:pPr>
          </w:p>
          <w:p w14:paraId="45F4231E" w14:textId="77777777" w:rsidR="00A96DCF" w:rsidRPr="002142C2" w:rsidRDefault="00A96DCF" w:rsidP="00792A37">
            <w:pPr>
              <w:pStyle w:val="TableParagraph"/>
              <w:jc w:val="both"/>
            </w:pPr>
          </w:p>
          <w:p w14:paraId="37F4A50E" w14:textId="77777777" w:rsidR="00A96DCF" w:rsidRPr="002142C2" w:rsidRDefault="00A96DCF" w:rsidP="00792A37">
            <w:pPr>
              <w:pStyle w:val="TableParagraph"/>
              <w:jc w:val="both"/>
            </w:pPr>
          </w:p>
          <w:p w14:paraId="415A5EAD" w14:textId="0B7E33E9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При этом в случае выявления тендерной комиссией несоответствия технических характеристик предлагаемой марки/модели и/или сведений о марке/модели, производителе, </w:t>
            </w:r>
            <w:r w:rsidRPr="002142C2">
              <w:rPr>
                <w:b/>
              </w:rPr>
              <w:t>стране происхождения,</w:t>
            </w:r>
            <w:r w:rsidRPr="002142C2">
              <w:t xml:space="preserve"> согласно информации, размещенной на официальном веб-сайте производителя, или согласно письму от </w:t>
            </w:r>
            <w:r w:rsidRPr="002142C2">
              <w:rPr>
                <w:b/>
              </w:rPr>
              <w:t>завода-изготовителя</w:t>
            </w:r>
            <w:r w:rsidRPr="002142C2">
              <w:t xml:space="preserve"> (официального представителя), тендерная комиссия признает марку/модель несоответствующей требованиям к содержанию тендерной заявки.</w:t>
            </w:r>
          </w:p>
          <w:p w14:paraId="61008AEB" w14:textId="5AB0EF27" w:rsidR="00A96DCF" w:rsidRPr="002142C2" w:rsidRDefault="00A96DCF" w:rsidP="00792A37">
            <w:pPr>
              <w:pStyle w:val="TableParagraph"/>
              <w:jc w:val="both"/>
            </w:pPr>
          </w:p>
        </w:tc>
        <w:tc>
          <w:tcPr>
            <w:tcW w:w="1053" w:type="pct"/>
          </w:tcPr>
          <w:p w14:paraId="57430E60" w14:textId="1BDC15B4" w:rsidR="00A96DCF" w:rsidRPr="002142C2" w:rsidRDefault="00A96DCF" w:rsidP="00792A37">
            <w:pPr>
              <w:pStyle w:val="TableParagraph"/>
              <w:jc w:val="both"/>
              <w:rPr>
                <w:b/>
              </w:rPr>
            </w:pPr>
            <w:r w:rsidRPr="002142C2">
              <w:rPr>
                <w:b/>
              </w:rPr>
              <w:lastRenderedPageBreak/>
              <w:t>Столбец «Содержимое» строки 4 Приложения № 6 к Порядку изложить в следующей редакции:</w:t>
            </w:r>
          </w:p>
          <w:p w14:paraId="28631521" w14:textId="74D90C60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Сведения о марке/модели, наименовании производителя, стране происхождения товара, </w:t>
            </w:r>
            <w:r w:rsidRPr="002142C2">
              <w:rPr>
                <w:b/>
              </w:rPr>
              <w:t>а также адрес</w:t>
            </w:r>
            <w:r w:rsidRPr="002142C2">
              <w:t xml:space="preserve"> </w:t>
            </w:r>
            <w:r w:rsidRPr="002142C2">
              <w:rPr>
                <w:rFonts w:eastAsia="Arial"/>
                <w:b/>
                <w:color w:val="000000"/>
              </w:rPr>
              <w:t>официального веб-сайта производителя или письмо от производителя либо его официального представителя (дилера или дистрибьютера) (с предоставлением документа от производителя, подтверждающего статус официального представителя)</w:t>
            </w:r>
          </w:p>
          <w:p w14:paraId="49B77D25" w14:textId="77777777" w:rsidR="00A96DCF" w:rsidRPr="002142C2" w:rsidRDefault="00A96DCF" w:rsidP="00792A37">
            <w:pPr>
              <w:pStyle w:val="TableParagraph"/>
              <w:jc w:val="both"/>
              <w:rPr>
                <w:b/>
                <w:spacing w:val="-1"/>
              </w:rPr>
            </w:pPr>
          </w:p>
          <w:p w14:paraId="3983A5FA" w14:textId="6F10AF36" w:rsidR="00A96DCF" w:rsidRPr="002142C2" w:rsidRDefault="00A96DCF" w:rsidP="00792A37">
            <w:pPr>
              <w:pStyle w:val="TableParagraph"/>
              <w:jc w:val="both"/>
              <w:rPr>
                <w:b/>
                <w:spacing w:val="-1"/>
              </w:rPr>
            </w:pPr>
            <w:r w:rsidRPr="002142C2">
              <w:rPr>
                <w:b/>
                <w:spacing w:val="-1"/>
              </w:rPr>
              <w:t xml:space="preserve">В столбце «Примечание» абзац второй строки 4 Приложения № 6 к Порядку изложить в </w:t>
            </w:r>
            <w:r w:rsidRPr="002142C2">
              <w:rPr>
                <w:b/>
                <w:spacing w:val="-1"/>
              </w:rPr>
              <w:lastRenderedPageBreak/>
              <w:t>следующей редакции:</w:t>
            </w:r>
          </w:p>
          <w:p w14:paraId="2932EFF9" w14:textId="0116A15F" w:rsidR="00A96DCF" w:rsidRPr="002142C2" w:rsidRDefault="00A96DCF" w:rsidP="00792A37">
            <w:pPr>
              <w:pStyle w:val="TableParagraph"/>
              <w:jc w:val="both"/>
            </w:pPr>
            <w:r w:rsidRPr="002142C2">
              <w:rPr>
                <w:b/>
              </w:rPr>
              <w:t>Сведения</w:t>
            </w:r>
            <w:r w:rsidRPr="002142C2">
              <w:t xml:space="preserve"> предоставляются </w:t>
            </w:r>
            <w:r w:rsidRPr="002142C2">
              <w:rPr>
                <w:b/>
              </w:rPr>
              <w:t>в электронном виде. Письма и документы предоставляются в форме электронной копии.</w:t>
            </w:r>
          </w:p>
          <w:p w14:paraId="21272C75" w14:textId="77777777" w:rsidR="00A96DCF" w:rsidRPr="002142C2" w:rsidRDefault="00A96DCF" w:rsidP="00792A37">
            <w:pPr>
              <w:pStyle w:val="TableParagraph"/>
              <w:jc w:val="both"/>
              <w:rPr>
                <w:b/>
                <w:spacing w:val="-1"/>
              </w:rPr>
            </w:pPr>
          </w:p>
          <w:p w14:paraId="4CB94675" w14:textId="768E9623" w:rsidR="00A96DCF" w:rsidRPr="002142C2" w:rsidRDefault="00A96DCF" w:rsidP="00792A37">
            <w:pPr>
              <w:pStyle w:val="TableParagraph"/>
              <w:jc w:val="both"/>
              <w:rPr>
                <w:b/>
                <w:spacing w:val="-1"/>
              </w:rPr>
            </w:pPr>
            <w:r w:rsidRPr="002142C2">
              <w:rPr>
                <w:b/>
                <w:spacing w:val="-1"/>
              </w:rPr>
              <w:t>В столбце «Примечание» абзац четвертый строки 4 Приложения № 6 к Порядку изложить в следующей редакции:</w:t>
            </w:r>
          </w:p>
          <w:p w14:paraId="39E0BA1B" w14:textId="586EB14C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При этом в случае выявления тендерной комиссией несоответствия технических характеристик предлагаемой марки/модели и/или сведений о марке/модели, производителе согласно информации, размещенной на официальном веб-сайте производителя, или согласно письму от </w:t>
            </w:r>
            <w:r w:rsidRPr="002142C2">
              <w:rPr>
                <w:b/>
              </w:rPr>
              <w:t>производителя</w:t>
            </w:r>
            <w:r w:rsidRPr="002142C2">
              <w:t xml:space="preserve"> </w:t>
            </w:r>
            <w:r w:rsidRPr="002142C2">
              <w:rPr>
                <w:b/>
              </w:rPr>
              <w:t>либо его</w:t>
            </w:r>
            <w:r w:rsidRPr="002142C2">
              <w:t xml:space="preserve"> официального представителя </w:t>
            </w:r>
            <w:r w:rsidRPr="002142C2">
              <w:rPr>
                <w:b/>
              </w:rPr>
              <w:t>(дилера или дистрибьютера)</w:t>
            </w:r>
            <w:r w:rsidRPr="002142C2">
              <w:t>, тендерная комиссия признает марку/модель несоответствующей требованиям к содержанию тендерной заявки.</w:t>
            </w:r>
          </w:p>
          <w:p w14:paraId="6CDE433E" w14:textId="0D5338DE" w:rsidR="00A96DCF" w:rsidRPr="002142C2" w:rsidRDefault="00A96DCF" w:rsidP="00792A37">
            <w:pPr>
              <w:pStyle w:val="TableParagraph"/>
              <w:jc w:val="both"/>
              <w:rPr>
                <w:b/>
                <w:spacing w:val="-1"/>
              </w:rPr>
            </w:pPr>
          </w:p>
        </w:tc>
        <w:tc>
          <w:tcPr>
            <w:tcW w:w="965" w:type="pct"/>
          </w:tcPr>
          <w:p w14:paraId="25C6949D" w14:textId="6541FEFD" w:rsidR="00A96DCF" w:rsidRPr="002142C2" w:rsidRDefault="00A96DCF" w:rsidP="00903CC1">
            <w:pPr>
              <w:pStyle w:val="TableParagraph"/>
              <w:ind w:left="-7"/>
              <w:jc w:val="both"/>
            </w:pPr>
            <w:r w:rsidRPr="002142C2">
              <w:lastRenderedPageBreak/>
              <w:t>Обоснование указано в пункте 9 СТ.</w:t>
            </w:r>
          </w:p>
        </w:tc>
        <w:tc>
          <w:tcPr>
            <w:tcW w:w="834" w:type="pct"/>
          </w:tcPr>
          <w:p w14:paraId="37014816" w14:textId="77777777" w:rsidR="00A96DCF" w:rsidRPr="002142C2" w:rsidRDefault="00A96DCF" w:rsidP="00A96DCF">
            <w:pPr>
              <w:pStyle w:val="TableParagraph"/>
              <w:jc w:val="both"/>
            </w:pPr>
          </w:p>
        </w:tc>
        <w:tc>
          <w:tcPr>
            <w:tcW w:w="701" w:type="pct"/>
          </w:tcPr>
          <w:p w14:paraId="7D0A3EA1" w14:textId="77777777" w:rsidR="00A96DCF" w:rsidRPr="002142C2" w:rsidRDefault="00A96DCF" w:rsidP="00A96DCF">
            <w:pPr>
              <w:pStyle w:val="TableParagraph"/>
              <w:jc w:val="both"/>
            </w:pPr>
          </w:p>
        </w:tc>
      </w:tr>
      <w:tr w:rsidR="004B5DCD" w:rsidRPr="002142C2" w14:paraId="62DBC08A" w14:textId="355A07BD" w:rsidTr="005A45C1">
        <w:tc>
          <w:tcPr>
            <w:tcW w:w="132" w:type="pct"/>
          </w:tcPr>
          <w:p w14:paraId="1F9555CD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3F096C7E" w14:textId="77777777" w:rsidR="00A96DCF" w:rsidRPr="002142C2" w:rsidRDefault="00A96DCF" w:rsidP="00792A37">
            <w:pPr>
              <w:pStyle w:val="TableParagraph"/>
              <w:ind w:left="126"/>
            </w:pPr>
            <w:r w:rsidRPr="002142C2">
              <w:t>П.8 Приложения 6</w:t>
            </w:r>
          </w:p>
        </w:tc>
        <w:tc>
          <w:tcPr>
            <w:tcW w:w="1017" w:type="pct"/>
          </w:tcPr>
          <w:p w14:paraId="67940180" w14:textId="77777777" w:rsidR="00A96DCF" w:rsidRPr="002142C2" w:rsidRDefault="00A96DCF" w:rsidP="00792A37">
            <w:pPr>
              <w:pStyle w:val="TableParagraph"/>
              <w:jc w:val="both"/>
            </w:pPr>
            <w:r w:rsidRPr="002142C2">
              <w:rPr>
                <w:b/>
              </w:rPr>
              <w:t>Документ, подтверждающий</w:t>
            </w:r>
            <w:r w:rsidRPr="002142C2">
              <w:t xml:space="preserve"> </w:t>
            </w:r>
            <w:r w:rsidRPr="002142C2">
              <w:rPr>
                <w:b/>
              </w:rPr>
              <w:t xml:space="preserve">внесение обеспечения тендерной заявки, соответствующей условиям внесения, содержанию и виду, изложенному в тендерной документации или </w:t>
            </w:r>
            <w:r w:rsidRPr="002142C2">
              <w:rPr>
                <w:b/>
              </w:rPr>
              <w:lastRenderedPageBreak/>
              <w:t>электронную банковскую гарантию</w:t>
            </w:r>
          </w:p>
          <w:p w14:paraId="340A82A3" w14:textId="77777777" w:rsidR="00A96DCF" w:rsidRPr="002142C2" w:rsidRDefault="00A96DCF" w:rsidP="00792A37">
            <w:pPr>
              <w:pStyle w:val="TableParagraph"/>
              <w:jc w:val="both"/>
            </w:pPr>
          </w:p>
          <w:p w14:paraId="124279B7" w14:textId="77777777" w:rsidR="00A96DCF" w:rsidRPr="002142C2" w:rsidRDefault="00A96DCF" w:rsidP="00792A37">
            <w:pPr>
              <w:pStyle w:val="TableParagraph"/>
              <w:jc w:val="both"/>
            </w:pPr>
            <w:r w:rsidRPr="002142C2">
              <w:t>Предоставляется в случае, если тендерной документацией предусматривается внесение обеспечения тендерной заявки.</w:t>
            </w:r>
          </w:p>
          <w:p w14:paraId="1B44146F" w14:textId="77777777" w:rsidR="00A96DCF" w:rsidRPr="002142C2" w:rsidRDefault="00A96DCF" w:rsidP="00792A37">
            <w:pPr>
              <w:pStyle w:val="TableParagraph"/>
              <w:jc w:val="both"/>
            </w:pPr>
            <w:r w:rsidRPr="002142C2">
              <w:t>Сумма обеспечения тендерной заявки не должна быть ниже размера, установленного тендерной документацией.</w:t>
            </w:r>
          </w:p>
          <w:p w14:paraId="1DD0AD95" w14:textId="77777777" w:rsidR="00A96DCF" w:rsidRPr="002142C2" w:rsidRDefault="00A96DCF" w:rsidP="00792A37">
            <w:pPr>
              <w:pStyle w:val="TableParagraph"/>
              <w:jc w:val="both"/>
            </w:pPr>
            <w:r w:rsidRPr="002142C2">
              <w:t>Срок действия обеспечения тендерной заявки должен быть не менее срока действия тендерной заявки. При этом течение срока действия обеспечения заявки на участие в тендере начинается со дня вскрытия тендерных заявок.</w:t>
            </w:r>
          </w:p>
          <w:p w14:paraId="699FFD00" w14:textId="77777777" w:rsidR="00A96DCF" w:rsidRPr="002142C2" w:rsidRDefault="00A96DCF" w:rsidP="00792A37">
            <w:pPr>
              <w:pStyle w:val="TableParagraph"/>
              <w:jc w:val="both"/>
              <w:rPr>
                <w:b/>
              </w:rPr>
            </w:pPr>
            <w:r w:rsidRPr="002142C2">
              <w:rPr>
                <w:b/>
              </w:rPr>
              <w:t>В случае внесения потенциальным поставщиком обеспечения заявки в виде банковской гарантии на бумажном носителе, ее оригинал представляется Заказчику/организатору закупок до окончательного срока представления тендерных заявок.</w:t>
            </w:r>
          </w:p>
          <w:p w14:paraId="39B9DAF7" w14:textId="77777777" w:rsidR="00A96DCF" w:rsidRPr="002142C2" w:rsidRDefault="00A96DCF" w:rsidP="00792A37">
            <w:pPr>
              <w:pStyle w:val="TableParagraph"/>
              <w:jc w:val="both"/>
            </w:pPr>
            <w:r w:rsidRPr="002142C2">
              <w:t>Достоверность обеспечения тендерной заявки в виде электронной банковской гарантии подтверждается потенциальным поставщиком на веб-портале закупок (в личном кабинете).</w:t>
            </w:r>
          </w:p>
        </w:tc>
        <w:tc>
          <w:tcPr>
            <w:tcW w:w="1053" w:type="pct"/>
          </w:tcPr>
          <w:p w14:paraId="2A121A23" w14:textId="77777777" w:rsidR="00A96DCF" w:rsidRPr="002142C2" w:rsidRDefault="00A96DCF" w:rsidP="00792A37">
            <w:pPr>
              <w:pStyle w:val="TableParagraph"/>
              <w:jc w:val="both"/>
              <w:rPr>
                <w:b/>
                <w:spacing w:val="-1"/>
              </w:rPr>
            </w:pPr>
            <w:r w:rsidRPr="002142C2">
              <w:rPr>
                <w:b/>
                <w:spacing w:val="-1"/>
              </w:rPr>
              <w:lastRenderedPageBreak/>
              <w:t>Абзац первый строки 8 столбца «Содержимое» Приложения № 6 к Порядку изложить в следующей редакции:</w:t>
            </w:r>
          </w:p>
          <w:p w14:paraId="1381737B" w14:textId="77777777" w:rsidR="00A96DCF" w:rsidRPr="002142C2" w:rsidRDefault="00A96DCF" w:rsidP="00792A37">
            <w:pPr>
              <w:pStyle w:val="TableParagraph"/>
              <w:jc w:val="both"/>
              <w:rPr>
                <w:b/>
              </w:rPr>
            </w:pPr>
            <w:r w:rsidRPr="002142C2">
              <w:t xml:space="preserve">Обеспечение тендерной заявки, </w:t>
            </w:r>
            <w:r w:rsidRPr="002142C2">
              <w:rPr>
                <w:b/>
              </w:rPr>
              <w:t xml:space="preserve">соответствующее условиям внесения, содержанию и виду, </w:t>
            </w:r>
            <w:r w:rsidRPr="002142C2">
              <w:rPr>
                <w:b/>
              </w:rPr>
              <w:lastRenderedPageBreak/>
              <w:t>изложенному в тендерной документации</w:t>
            </w:r>
          </w:p>
          <w:p w14:paraId="6837E317" w14:textId="77777777" w:rsidR="00A96DCF" w:rsidRPr="002142C2" w:rsidRDefault="00A96DCF" w:rsidP="00792A37">
            <w:pPr>
              <w:pStyle w:val="TableParagraph"/>
              <w:jc w:val="both"/>
              <w:rPr>
                <w:b/>
              </w:rPr>
            </w:pPr>
          </w:p>
          <w:p w14:paraId="430FC60B" w14:textId="77777777" w:rsidR="00A96DCF" w:rsidRPr="002142C2" w:rsidRDefault="00A96DCF" w:rsidP="00792A37">
            <w:pPr>
              <w:pStyle w:val="TableParagraph"/>
              <w:jc w:val="both"/>
            </w:pPr>
            <w:r w:rsidRPr="002142C2">
              <w:rPr>
                <w:b/>
              </w:rPr>
              <w:t>В столбце «Примечание» строки 8 Приложения № 6 к Порядку абзац четвертый исключить.</w:t>
            </w:r>
          </w:p>
        </w:tc>
        <w:tc>
          <w:tcPr>
            <w:tcW w:w="965" w:type="pct"/>
          </w:tcPr>
          <w:p w14:paraId="4F2D61EC" w14:textId="09F9F229" w:rsidR="00A96DCF" w:rsidRPr="002142C2" w:rsidRDefault="00A96DCF" w:rsidP="001B5CCB">
            <w:pPr>
              <w:pStyle w:val="TableParagraph"/>
              <w:ind w:left="-7"/>
              <w:jc w:val="both"/>
            </w:pPr>
            <w:r w:rsidRPr="002142C2">
              <w:lastRenderedPageBreak/>
              <w:t>Обоснование указано в пункте 2 СТ.</w:t>
            </w:r>
          </w:p>
        </w:tc>
        <w:tc>
          <w:tcPr>
            <w:tcW w:w="834" w:type="pct"/>
          </w:tcPr>
          <w:p w14:paraId="6DDB7D0C" w14:textId="77777777" w:rsidR="00A96DCF" w:rsidRPr="002142C2" w:rsidRDefault="00A96DCF" w:rsidP="00A96DCF">
            <w:pPr>
              <w:pStyle w:val="TableParagraph"/>
              <w:jc w:val="both"/>
            </w:pPr>
          </w:p>
        </w:tc>
        <w:tc>
          <w:tcPr>
            <w:tcW w:w="701" w:type="pct"/>
          </w:tcPr>
          <w:p w14:paraId="59E7BD44" w14:textId="77777777" w:rsidR="00A96DCF" w:rsidRPr="002142C2" w:rsidRDefault="00A96DCF" w:rsidP="00A96DCF">
            <w:pPr>
              <w:pStyle w:val="TableParagraph"/>
              <w:jc w:val="both"/>
            </w:pPr>
          </w:p>
        </w:tc>
      </w:tr>
      <w:tr w:rsidR="004B5DCD" w:rsidRPr="002142C2" w14:paraId="28B694D8" w14:textId="0329D144" w:rsidTr="005A45C1">
        <w:tc>
          <w:tcPr>
            <w:tcW w:w="132" w:type="pct"/>
          </w:tcPr>
          <w:p w14:paraId="237650BE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0D043E00" w14:textId="77777777" w:rsidR="00A96DCF" w:rsidRPr="002142C2" w:rsidRDefault="00A96DCF" w:rsidP="00792A37">
            <w:pPr>
              <w:pStyle w:val="TableParagraph"/>
              <w:ind w:left="126"/>
            </w:pPr>
            <w:r w:rsidRPr="002142C2">
              <w:t>п.9</w:t>
            </w:r>
          </w:p>
          <w:p w14:paraId="76CB4995" w14:textId="77777777" w:rsidR="00A96DCF" w:rsidRPr="002142C2" w:rsidRDefault="00A96DCF" w:rsidP="00792A37">
            <w:pPr>
              <w:pStyle w:val="TableParagraph"/>
              <w:ind w:left="126"/>
            </w:pPr>
            <w:proofErr w:type="spellStart"/>
            <w:r w:rsidRPr="002142C2">
              <w:t>Прилож</w:t>
            </w:r>
            <w:proofErr w:type="spellEnd"/>
            <w:r w:rsidRPr="002142C2">
              <w:rPr>
                <w:spacing w:val="1"/>
              </w:rPr>
              <w:t xml:space="preserve"> </w:t>
            </w:r>
            <w:proofErr w:type="spellStart"/>
            <w:r w:rsidRPr="002142C2">
              <w:t>ения</w:t>
            </w:r>
            <w:proofErr w:type="spellEnd"/>
            <w:r w:rsidRPr="002142C2">
              <w:t xml:space="preserve"> №6</w:t>
            </w:r>
            <w:r w:rsidRPr="002142C2">
              <w:rPr>
                <w:spacing w:val="-57"/>
              </w:rPr>
              <w:t xml:space="preserve"> </w:t>
            </w:r>
            <w:r w:rsidRPr="002142C2">
              <w:t>к</w:t>
            </w:r>
            <w:r w:rsidRPr="002142C2">
              <w:rPr>
                <w:spacing w:val="1"/>
              </w:rPr>
              <w:t xml:space="preserve"> </w:t>
            </w:r>
            <w:r w:rsidRPr="002142C2">
              <w:rPr>
                <w:spacing w:val="-1"/>
              </w:rPr>
              <w:t>Порядку</w:t>
            </w:r>
          </w:p>
        </w:tc>
        <w:tc>
          <w:tcPr>
            <w:tcW w:w="1017" w:type="pct"/>
          </w:tcPr>
          <w:p w14:paraId="6FD2D32F" w14:textId="730D77E1" w:rsidR="00A96DCF" w:rsidRPr="002142C2" w:rsidRDefault="00A96DCF" w:rsidP="00792A37">
            <w:pPr>
              <w:pStyle w:val="TableParagraph"/>
              <w:jc w:val="both"/>
            </w:pPr>
            <w:r w:rsidRPr="002142C2">
              <w:t>В</w:t>
            </w:r>
            <w:r w:rsidRPr="002142C2">
              <w:rPr>
                <w:spacing w:val="-7"/>
              </w:rPr>
              <w:t xml:space="preserve"> </w:t>
            </w:r>
            <w:r w:rsidRPr="002142C2">
              <w:t>случае</w:t>
            </w:r>
            <w:r w:rsidRPr="002142C2">
              <w:rPr>
                <w:spacing w:val="1"/>
              </w:rPr>
              <w:t xml:space="preserve"> </w:t>
            </w:r>
            <w:r w:rsidRPr="002142C2">
              <w:t>участия</w:t>
            </w:r>
            <w:r w:rsidRPr="002142C2">
              <w:rPr>
                <w:spacing w:val="-3"/>
              </w:rPr>
              <w:t xml:space="preserve"> </w:t>
            </w:r>
            <w:r w:rsidRPr="002142C2">
              <w:t>консорциума предоставляются</w:t>
            </w:r>
            <w:r w:rsidRPr="002142C2">
              <w:rPr>
                <w:spacing w:val="60"/>
              </w:rPr>
              <w:t xml:space="preserve"> </w:t>
            </w:r>
            <w:r w:rsidRPr="002142C2">
              <w:t>документы,</w:t>
            </w:r>
            <w:r w:rsidRPr="002142C2">
              <w:rPr>
                <w:spacing w:val="1"/>
              </w:rPr>
              <w:t xml:space="preserve"> </w:t>
            </w:r>
            <w:r w:rsidRPr="002142C2">
              <w:rPr>
                <w:spacing w:val="-2"/>
              </w:rPr>
              <w:t>содержащие</w:t>
            </w:r>
            <w:r w:rsidRPr="002142C2">
              <w:rPr>
                <w:spacing w:val="-1"/>
              </w:rPr>
              <w:t xml:space="preserve"> указанные сведения по</w:t>
            </w:r>
            <w:r w:rsidRPr="002142C2">
              <w:t xml:space="preserve"> </w:t>
            </w:r>
            <w:r w:rsidRPr="002142C2">
              <w:rPr>
                <w:spacing w:val="-1"/>
              </w:rPr>
              <w:t xml:space="preserve">каждому юридическому лицу, входящему </w:t>
            </w:r>
            <w:r w:rsidRPr="002142C2">
              <w:rPr>
                <w:spacing w:val="-57"/>
              </w:rPr>
              <w:t>в</w:t>
            </w:r>
            <w:r w:rsidRPr="002142C2">
              <w:rPr>
                <w:spacing w:val="4"/>
              </w:rPr>
              <w:t xml:space="preserve"> </w:t>
            </w:r>
            <w:r w:rsidRPr="002142C2">
              <w:t>консорциум,</w:t>
            </w:r>
            <w:r w:rsidRPr="002142C2">
              <w:rPr>
                <w:b/>
                <w:spacing w:val="-2"/>
              </w:rPr>
              <w:t xml:space="preserve"> </w:t>
            </w:r>
            <w:r w:rsidRPr="002142C2">
              <w:rPr>
                <w:b/>
              </w:rPr>
              <w:t>документ,</w:t>
            </w:r>
            <w:r w:rsidRPr="002142C2">
              <w:rPr>
                <w:b/>
                <w:spacing w:val="1"/>
              </w:rPr>
              <w:t xml:space="preserve"> </w:t>
            </w:r>
            <w:r w:rsidRPr="002142C2">
              <w:rPr>
                <w:b/>
              </w:rPr>
              <w:t>подтверждающий право подписания</w:t>
            </w:r>
            <w:r w:rsidRPr="002142C2">
              <w:rPr>
                <w:b/>
                <w:spacing w:val="1"/>
              </w:rPr>
              <w:t xml:space="preserve"> </w:t>
            </w:r>
            <w:r w:rsidRPr="002142C2">
              <w:rPr>
                <w:b/>
              </w:rPr>
              <w:t>соглашения</w:t>
            </w:r>
            <w:r w:rsidRPr="002142C2">
              <w:rPr>
                <w:b/>
                <w:spacing w:val="1"/>
              </w:rPr>
              <w:t xml:space="preserve"> </w:t>
            </w:r>
            <w:r w:rsidRPr="002142C2">
              <w:rPr>
                <w:b/>
              </w:rPr>
              <w:t>о консорциуме</w:t>
            </w:r>
            <w:r w:rsidRPr="002142C2">
              <w:rPr>
                <w:b/>
                <w:spacing w:val="1"/>
              </w:rPr>
              <w:t xml:space="preserve"> </w:t>
            </w:r>
            <w:r w:rsidRPr="002142C2">
              <w:rPr>
                <w:b/>
                <w:spacing w:val="-1"/>
              </w:rPr>
              <w:t xml:space="preserve">уполномоченным </w:t>
            </w:r>
            <w:r w:rsidRPr="002142C2">
              <w:rPr>
                <w:b/>
              </w:rPr>
              <w:t>лицом каждого</w:t>
            </w:r>
            <w:r w:rsidRPr="002142C2">
              <w:rPr>
                <w:b/>
                <w:spacing w:val="1"/>
              </w:rPr>
              <w:t xml:space="preserve"> </w:t>
            </w:r>
            <w:r w:rsidRPr="002142C2">
              <w:rPr>
                <w:b/>
                <w:spacing w:val="-3"/>
              </w:rPr>
              <w:t xml:space="preserve">юридического </w:t>
            </w:r>
            <w:r w:rsidRPr="002142C2">
              <w:rPr>
                <w:b/>
                <w:spacing w:val="-2"/>
              </w:rPr>
              <w:t>лица, входящего</w:t>
            </w:r>
            <w:r w:rsidRPr="002142C2">
              <w:rPr>
                <w:b/>
                <w:spacing w:val="-1"/>
              </w:rPr>
              <w:t xml:space="preserve"> </w:t>
            </w:r>
            <w:r w:rsidRPr="002142C2">
              <w:rPr>
                <w:b/>
                <w:spacing w:val="-2"/>
              </w:rPr>
              <w:t>в</w:t>
            </w:r>
            <w:r w:rsidRPr="002142C2">
              <w:rPr>
                <w:b/>
                <w:spacing w:val="-1"/>
              </w:rPr>
              <w:t xml:space="preserve"> </w:t>
            </w:r>
            <w:r w:rsidRPr="002142C2">
              <w:rPr>
                <w:b/>
              </w:rPr>
              <w:t>консорциум,</w:t>
            </w:r>
            <w:r w:rsidRPr="002142C2">
              <w:rPr>
                <w:b/>
                <w:spacing w:val="10"/>
              </w:rPr>
              <w:t xml:space="preserve"> </w:t>
            </w:r>
            <w:r w:rsidRPr="002142C2">
              <w:t>а</w:t>
            </w:r>
            <w:r w:rsidRPr="002142C2">
              <w:rPr>
                <w:spacing w:val="-6"/>
              </w:rPr>
              <w:t xml:space="preserve"> </w:t>
            </w:r>
            <w:r w:rsidRPr="002142C2">
              <w:t>также</w:t>
            </w:r>
            <w:r w:rsidRPr="002142C2">
              <w:rPr>
                <w:spacing w:val="10"/>
              </w:rPr>
              <w:t xml:space="preserve"> </w:t>
            </w:r>
            <w:r w:rsidRPr="002142C2">
              <w:t>соглашение</w:t>
            </w:r>
            <w:r w:rsidRPr="002142C2">
              <w:rPr>
                <w:spacing w:val="9"/>
              </w:rPr>
              <w:t xml:space="preserve"> </w:t>
            </w:r>
            <w:r w:rsidRPr="002142C2">
              <w:t>о</w:t>
            </w:r>
            <w:r w:rsidRPr="002142C2">
              <w:rPr>
                <w:spacing w:val="1"/>
              </w:rPr>
              <w:t xml:space="preserve"> </w:t>
            </w:r>
            <w:r w:rsidRPr="002142C2">
              <w:t>консорциуме.</w:t>
            </w:r>
          </w:p>
          <w:p w14:paraId="05FCAE3C" w14:textId="77777777" w:rsidR="00A96DCF" w:rsidRPr="002142C2" w:rsidRDefault="00A96DCF" w:rsidP="00792A37">
            <w:pPr>
              <w:pStyle w:val="TableParagraph"/>
              <w:jc w:val="both"/>
              <w:rPr>
                <w:b/>
                <w:spacing w:val="-1"/>
              </w:rPr>
            </w:pPr>
            <w:r w:rsidRPr="002142C2">
              <w:rPr>
                <w:b/>
                <w:spacing w:val="-2"/>
              </w:rPr>
              <w:t>В случае участия консорциума в качестве документа, содержащего сведения об учредителях (участниках) потенциального поставщика, в том числе могут быть представлены уставы каждого юридического лица, входящего в консорциум.</w:t>
            </w:r>
          </w:p>
        </w:tc>
        <w:tc>
          <w:tcPr>
            <w:tcW w:w="1053" w:type="pct"/>
          </w:tcPr>
          <w:p w14:paraId="2ADB2200" w14:textId="27381AE5" w:rsidR="00A96DCF" w:rsidRPr="002142C2" w:rsidRDefault="00A96DCF" w:rsidP="00792A37">
            <w:pPr>
              <w:pStyle w:val="TableParagraph"/>
              <w:jc w:val="both"/>
            </w:pPr>
            <w:r w:rsidRPr="002142C2">
              <w:rPr>
                <w:b/>
              </w:rPr>
              <w:t>В столбце «Примечание» абзац второй строки 9 Приложения № 6 к Порядку изложить в следующей редакции:</w:t>
            </w:r>
          </w:p>
          <w:p w14:paraId="2AD0C589" w14:textId="2427EDD1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В случае участия консорциума предоставляются документы, содержащие указанные сведения по каждому юридическому лицу, входящему в консорциум, </w:t>
            </w:r>
            <w:r w:rsidRPr="002142C2">
              <w:rPr>
                <w:b/>
              </w:rPr>
              <w:t>доверенность на право подписания консорциального соглашения уполномоченным лицом (в случае подписания соглашения о консорциуме не первым руководителем)</w:t>
            </w:r>
            <w:r w:rsidRPr="002142C2">
              <w:t>, а также соглашение о консорциуме.</w:t>
            </w:r>
          </w:p>
          <w:p w14:paraId="7C2A215E" w14:textId="77777777" w:rsidR="00A96DCF" w:rsidRPr="002142C2" w:rsidRDefault="00A96DCF" w:rsidP="00792A37">
            <w:pPr>
              <w:pStyle w:val="TableParagraph"/>
              <w:jc w:val="both"/>
            </w:pPr>
          </w:p>
          <w:p w14:paraId="6F89DF27" w14:textId="382D992B" w:rsidR="00A96DCF" w:rsidRPr="002142C2" w:rsidRDefault="00A96DCF" w:rsidP="00A25F23">
            <w:pPr>
              <w:pStyle w:val="TableParagraph"/>
              <w:jc w:val="both"/>
              <w:rPr>
                <w:b/>
              </w:rPr>
            </w:pPr>
            <w:r w:rsidRPr="002142C2">
              <w:rPr>
                <w:b/>
              </w:rPr>
              <w:t>В столбце «Примечание» абзац третий строки 9 Приложения № 6 к Порядку исключить.</w:t>
            </w:r>
          </w:p>
        </w:tc>
        <w:tc>
          <w:tcPr>
            <w:tcW w:w="965" w:type="pct"/>
          </w:tcPr>
          <w:p w14:paraId="3A3E5AF6" w14:textId="5B836D8D" w:rsidR="00A96DCF" w:rsidRPr="002142C2" w:rsidRDefault="00A96DCF" w:rsidP="00A25F23">
            <w:pPr>
              <w:pStyle w:val="TableParagraph"/>
              <w:ind w:left="-7"/>
              <w:jc w:val="both"/>
            </w:pPr>
            <w:r w:rsidRPr="002142C2">
              <w:t xml:space="preserve">В целях упрощения и оптимизации процесса закупок предлагается сократить количество документов, предоставляемых участниками консорциума, ограничившись справкой о государственной регистрации каждого юридического лица (с приложением выписки из реестра держателей акций для АО в случае отсутствия сведений об акционерах в справке о </w:t>
            </w:r>
            <w:proofErr w:type="spellStart"/>
            <w:proofErr w:type="gramStart"/>
            <w:r w:rsidRPr="002142C2">
              <w:t>гос.регистрации</w:t>
            </w:r>
            <w:proofErr w:type="spellEnd"/>
            <w:proofErr w:type="gramEnd"/>
            <w:r w:rsidRPr="002142C2">
              <w:t>), а также доверенностью в случае подписания консорциального соглашения не первым руководителем юридического лица.</w:t>
            </w:r>
          </w:p>
          <w:p w14:paraId="1742DBBF" w14:textId="329301A4" w:rsidR="00A96DCF" w:rsidRPr="002142C2" w:rsidRDefault="00A96DCF" w:rsidP="00D53455">
            <w:pPr>
              <w:pStyle w:val="TableParagraph"/>
              <w:ind w:left="-7"/>
              <w:jc w:val="both"/>
            </w:pPr>
            <w:r w:rsidRPr="002142C2">
              <w:t>Также вносится в связи с тем, что при</w:t>
            </w:r>
            <w:r w:rsidRPr="002142C2">
              <w:rPr>
                <w:spacing w:val="-4"/>
              </w:rPr>
              <w:t xml:space="preserve"> </w:t>
            </w:r>
            <w:r w:rsidRPr="002142C2">
              <w:t>участии</w:t>
            </w:r>
            <w:r w:rsidRPr="002142C2">
              <w:rPr>
                <w:spacing w:val="11"/>
              </w:rPr>
              <w:t xml:space="preserve"> </w:t>
            </w:r>
            <w:r w:rsidRPr="002142C2">
              <w:t>консорциума,</w:t>
            </w:r>
            <w:r w:rsidRPr="002142C2">
              <w:rPr>
                <w:spacing w:val="-8"/>
              </w:rPr>
              <w:t xml:space="preserve"> </w:t>
            </w:r>
            <w:r w:rsidRPr="002142C2">
              <w:t>между</w:t>
            </w:r>
            <w:r w:rsidRPr="002142C2">
              <w:rPr>
                <w:spacing w:val="5"/>
              </w:rPr>
              <w:t xml:space="preserve"> </w:t>
            </w:r>
            <w:r w:rsidRPr="002142C2">
              <w:t>членами</w:t>
            </w:r>
            <w:r w:rsidRPr="002142C2">
              <w:rPr>
                <w:lang w:val="kk-KZ"/>
              </w:rPr>
              <w:t xml:space="preserve"> </w:t>
            </w:r>
            <w:r w:rsidRPr="002142C2">
              <w:t>тендерной комиссии</w:t>
            </w:r>
            <w:r w:rsidRPr="002142C2">
              <w:rPr>
                <w:lang w:val="kk-KZ"/>
              </w:rPr>
              <w:t xml:space="preserve"> </w:t>
            </w:r>
            <w:r w:rsidRPr="002142C2">
              <w:t>постоянно возникают</w:t>
            </w:r>
            <w:r w:rsidRPr="002142C2">
              <w:rPr>
                <w:spacing w:val="1"/>
              </w:rPr>
              <w:t xml:space="preserve"> </w:t>
            </w:r>
            <w:r w:rsidRPr="002142C2">
              <w:t>разногласия, связанные с предоставлением</w:t>
            </w:r>
            <w:r w:rsidRPr="002142C2">
              <w:rPr>
                <w:spacing w:val="1"/>
              </w:rPr>
              <w:t xml:space="preserve"> </w:t>
            </w:r>
            <w:r w:rsidRPr="002142C2">
              <w:t>потенциальными поставщиками разных по</w:t>
            </w:r>
            <w:r w:rsidRPr="002142C2">
              <w:rPr>
                <w:spacing w:val="1"/>
              </w:rPr>
              <w:t xml:space="preserve"> </w:t>
            </w:r>
            <w:r w:rsidRPr="002142C2">
              <w:rPr>
                <w:spacing w:val="-2"/>
              </w:rPr>
              <w:t>природе документов</w:t>
            </w:r>
            <w:r w:rsidRPr="002142C2">
              <w:rPr>
                <w:spacing w:val="-1"/>
              </w:rPr>
              <w:t xml:space="preserve"> (решение,</w:t>
            </w:r>
            <w:r w:rsidRPr="002142C2">
              <w:t xml:space="preserve"> </w:t>
            </w:r>
            <w:r w:rsidRPr="002142C2">
              <w:rPr>
                <w:spacing w:val="-1"/>
              </w:rPr>
              <w:t>доверенность и т.д.) ввиду того, что не определены конкретные документы, необходимые к предоставлению в составе заявки.</w:t>
            </w:r>
          </w:p>
        </w:tc>
        <w:tc>
          <w:tcPr>
            <w:tcW w:w="834" w:type="pct"/>
          </w:tcPr>
          <w:p w14:paraId="1349BFB7" w14:textId="77777777" w:rsidR="00A96DCF" w:rsidRPr="002142C2" w:rsidRDefault="00A96DCF" w:rsidP="00D53455">
            <w:pPr>
              <w:pStyle w:val="TableParagraph"/>
              <w:ind w:left="-7"/>
              <w:jc w:val="both"/>
            </w:pPr>
          </w:p>
        </w:tc>
        <w:tc>
          <w:tcPr>
            <w:tcW w:w="701" w:type="pct"/>
          </w:tcPr>
          <w:p w14:paraId="764DD12D" w14:textId="77777777" w:rsidR="00A96DCF" w:rsidRPr="002142C2" w:rsidRDefault="00A96DCF" w:rsidP="00D53455">
            <w:pPr>
              <w:pStyle w:val="TableParagraph"/>
              <w:ind w:left="-7"/>
              <w:jc w:val="both"/>
            </w:pPr>
          </w:p>
        </w:tc>
      </w:tr>
      <w:tr w:rsidR="004B5DCD" w:rsidRPr="002142C2" w14:paraId="27D7A083" w14:textId="6C9B9B6C" w:rsidTr="005A45C1">
        <w:tc>
          <w:tcPr>
            <w:tcW w:w="132" w:type="pct"/>
          </w:tcPr>
          <w:p w14:paraId="5C3FCBEC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167F11A1" w14:textId="5C5A3996" w:rsidR="00A96DCF" w:rsidRPr="002142C2" w:rsidRDefault="00A96DCF" w:rsidP="00792A37">
            <w:pPr>
              <w:pStyle w:val="TableParagraph"/>
              <w:ind w:left="126"/>
            </w:pPr>
            <w:r w:rsidRPr="002142C2">
              <w:t>П.10 Прило</w:t>
            </w:r>
            <w:r w:rsidRPr="002142C2">
              <w:lastRenderedPageBreak/>
              <w:t>жения 11</w:t>
            </w:r>
          </w:p>
        </w:tc>
        <w:tc>
          <w:tcPr>
            <w:tcW w:w="1017" w:type="pct"/>
          </w:tcPr>
          <w:p w14:paraId="72012FA7" w14:textId="77777777" w:rsidR="00A96DCF" w:rsidRPr="002142C2" w:rsidRDefault="00A96DCF" w:rsidP="00792A37">
            <w:pPr>
              <w:pStyle w:val="TableParagraph"/>
              <w:jc w:val="both"/>
            </w:pPr>
            <w:r w:rsidRPr="002142C2">
              <w:lastRenderedPageBreak/>
              <w:t xml:space="preserve">Сведения о марке/модели, наименовании производителя, </w:t>
            </w:r>
            <w:r w:rsidRPr="002142C2">
              <w:lastRenderedPageBreak/>
              <w:t>стране происхождения товара и контактные данные производителя (официального представителя)</w:t>
            </w:r>
          </w:p>
          <w:p w14:paraId="0E8F2844" w14:textId="77777777" w:rsidR="00A96DCF" w:rsidRPr="002142C2" w:rsidRDefault="00A96DCF" w:rsidP="00792A37">
            <w:pPr>
              <w:pStyle w:val="TableParagraph"/>
              <w:jc w:val="both"/>
            </w:pPr>
          </w:p>
          <w:p w14:paraId="7034AA9C" w14:textId="77777777" w:rsidR="00A96DCF" w:rsidRPr="002142C2" w:rsidRDefault="00A96DCF" w:rsidP="00792A37">
            <w:pPr>
              <w:pStyle w:val="TableParagraph"/>
              <w:jc w:val="both"/>
            </w:pPr>
          </w:p>
          <w:p w14:paraId="2F75120E" w14:textId="77777777" w:rsidR="00A96DCF" w:rsidRPr="002142C2" w:rsidRDefault="00A96DCF" w:rsidP="00792A37">
            <w:pPr>
              <w:pStyle w:val="TableParagraph"/>
              <w:jc w:val="both"/>
            </w:pPr>
          </w:p>
          <w:p w14:paraId="45ED8B36" w14:textId="7AB0ADE5" w:rsidR="00A96DCF" w:rsidRPr="002142C2" w:rsidRDefault="00A96DCF" w:rsidP="00792A37">
            <w:pPr>
              <w:pStyle w:val="TableParagraph"/>
              <w:jc w:val="both"/>
            </w:pPr>
          </w:p>
          <w:p w14:paraId="670C26F2" w14:textId="583EFC63" w:rsidR="00A96DCF" w:rsidRPr="002142C2" w:rsidRDefault="00A96DCF" w:rsidP="00792A37">
            <w:pPr>
              <w:pStyle w:val="TableParagraph"/>
              <w:jc w:val="both"/>
            </w:pPr>
          </w:p>
          <w:p w14:paraId="03654014" w14:textId="5E57F822" w:rsidR="00A96DCF" w:rsidRPr="002142C2" w:rsidRDefault="00A96DCF" w:rsidP="00792A37">
            <w:pPr>
              <w:pStyle w:val="TableParagraph"/>
              <w:jc w:val="both"/>
            </w:pPr>
          </w:p>
          <w:p w14:paraId="6FD72B62" w14:textId="2CA8322F" w:rsidR="00A96DCF" w:rsidRPr="002142C2" w:rsidRDefault="00A96DCF" w:rsidP="00792A37">
            <w:pPr>
              <w:pStyle w:val="TableParagraph"/>
              <w:jc w:val="both"/>
            </w:pPr>
          </w:p>
          <w:p w14:paraId="4B99F7FC" w14:textId="77777777" w:rsidR="00A96DCF" w:rsidRPr="002142C2" w:rsidRDefault="00A96DCF" w:rsidP="00792A37">
            <w:pPr>
              <w:pStyle w:val="TableParagraph"/>
              <w:jc w:val="both"/>
            </w:pPr>
          </w:p>
          <w:p w14:paraId="61CA3F52" w14:textId="77777777" w:rsidR="00A96DCF" w:rsidRPr="002142C2" w:rsidRDefault="00A96DCF" w:rsidP="00792A37">
            <w:pPr>
              <w:pStyle w:val="TableParagraph"/>
              <w:jc w:val="both"/>
            </w:pPr>
          </w:p>
          <w:p w14:paraId="4CA3C829" w14:textId="77777777" w:rsidR="00A96DCF" w:rsidRPr="002142C2" w:rsidRDefault="00A96DCF" w:rsidP="00792A37">
            <w:pPr>
              <w:pStyle w:val="TableParagraph"/>
              <w:jc w:val="both"/>
            </w:pPr>
          </w:p>
          <w:p w14:paraId="14BDCC8C" w14:textId="77777777" w:rsidR="00A96DCF" w:rsidRPr="002142C2" w:rsidRDefault="00A96DCF" w:rsidP="00792A37">
            <w:pPr>
              <w:pStyle w:val="TableParagraph"/>
              <w:jc w:val="both"/>
            </w:pPr>
          </w:p>
          <w:p w14:paraId="23D3FF64" w14:textId="4242B8F1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При этом в случае выявления несоответствия технических характеристик предлагаемой марки/модели и/или сведений о марке/модели, производителе, </w:t>
            </w:r>
            <w:r w:rsidRPr="002142C2">
              <w:rPr>
                <w:b/>
              </w:rPr>
              <w:t>стране происхождения</w:t>
            </w:r>
            <w:r w:rsidRPr="002142C2">
              <w:t xml:space="preserve"> согласно информации, размещенной на официальном веб-сайте производителя, или согласно письму от </w:t>
            </w:r>
            <w:r w:rsidRPr="002142C2">
              <w:rPr>
                <w:b/>
              </w:rPr>
              <w:t>завода-изготовителя</w:t>
            </w:r>
            <w:r w:rsidRPr="002142C2">
              <w:t xml:space="preserve"> (официального представителя), Заказчик признает ценовое предложение несоответствующим требованиям к содержанию ценового предложения.</w:t>
            </w:r>
          </w:p>
        </w:tc>
        <w:tc>
          <w:tcPr>
            <w:tcW w:w="1053" w:type="pct"/>
          </w:tcPr>
          <w:p w14:paraId="4B689331" w14:textId="70B9D4DC" w:rsidR="00A96DCF" w:rsidRPr="002142C2" w:rsidRDefault="00A96DCF" w:rsidP="00792A37">
            <w:pPr>
              <w:pStyle w:val="TableParagraph"/>
              <w:jc w:val="both"/>
              <w:rPr>
                <w:b/>
              </w:rPr>
            </w:pPr>
            <w:r w:rsidRPr="002142C2">
              <w:rPr>
                <w:b/>
              </w:rPr>
              <w:lastRenderedPageBreak/>
              <w:t xml:space="preserve">Столбец «Содержимое» строки 10 Приложения № 11 к Порядку </w:t>
            </w:r>
            <w:r w:rsidRPr="002142C2">
              <w:rPr>
                <w:b/>
              </w:rPr>
              <w:lastRenderedPageBreak/>
              <w:t>изложить в следующей редакции:</w:t>
            </w:r>
          </w:p>
          <w:p w14:paraId="16F9781F" w14:textId="41F41223" w:rsidR="00A96DCF" w:rsidRPr="002142C2" w:rsidRDefault="00A96DCF" w:rsidP="00792A37">
            <w:pPr>
              <w:pStyle w:val="TableParagraph"/>
              <w:jc w:val="both"/>
            </w:pPr>
            <w:r w:rsidRPr="002142C2">
              <w:t xml:space="preserve">Сведения о марке/модели, наименовании производителя, стране происхождения товара, </w:t>
            </w:r>
            <w:r w:rsidRPr="002142C2">
              <w:rPr>
                <w:b/>
              </w:rPr>
              <w:t>а также адрес</w:t>
            </w:r>
            <w:r w:rsidRPr="002142C2">
              <w:t xml:space="preserve"> </w:t>
            </w:r>
            <w:r w:rsidRPr="002142C2">
              <w:rPr>
                <w:rFonts w:eastAsia="Arial"/>
                <w:b/>
                <w:color w:val="000000"/>
              </w:rPr>
              <w:t>официального веб-сайта производителя или письмо от производителя либо его официального представителя (дилера или дистрибьютера) (с предоставлением документа от производителя, подтверждающего статус официального представителя)</w:t>
            </w:r>
          </w:p>
          <w:p w14:paraId="3B9BFBF5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14:paraId="55875445" w14:textId="335DA14C" w:rsidR="00A96DCF" w:rsidRPr="002142C2" w:rsidRDefault="00A96DCF" w:rsidP="00792A37">
            <w:pPr>
              <w:pStyle w:val="TableParagraph"/>
              <w:jc w:val="both"/>
              <w:rPr>
                <w:b/>
              </w:rPr>
            </w:pPr>
            <w:r w:rsidRPr="002142C2">
              <w:rPr>
                <w:b/>
              </w:rPr>
              <w:t>В столбце «Примечание» абзац третий строки 10 Приложения № 11 к Порядку изложить в следующей редакции:</w:t>
            </w:r>
          </w:p>
          <w:p w14:paraId="507244AC" w14:textId="104A8B47" w:rsidR="00A96DCF" w:rsidRPr="002142C2" w:rsidRDefault="00A96DCF" w:rsidP="00EC6636">
            <w:pPr>
              <w:pStyle w:val="TableParagraph"/>
              <w:jc w:val="both"/>
            </w:pPr>
            <w:r w:rsidRPr="002142C2">
              <w:t xml:space="preserve">При этом в случае выявления несоответствия технических характеристик предлагаемой марки/модели и/или сведений о марке/модели, производителе согласно информации, размещенной на официальном веб-сайте производителя, или согласно письму от </w:t>
            </w:r>
            <w:r w:rsidRPr="002142C2">
              <w:rPr>
                <w:b/>
              </w:rPr>
              <w:t>производителя</w:t>
            </w:r>
            <w:r w:rsidRPr="002142C2">
              <w:t xml:space="preserve"> либо его официального представителя </w:t>
            </w:r>
            <w:r w:rsidRPr="002142C2">
              <w:rPr>
                <w:b/>
              </w:rPr>
              <w:t>(дилера или дистрибьютера)</w:t>
            </w:r>
            <w:r w:rsidRPr="002142C2">
              <w:t xml:space="preserve">, Заказчик признает ценовое предложение несоответствующим требованиям к содержанию ценового </w:t>
            </w:r>
            <w:r w:rsidRPr="002142C2">
              <w:lastRenderedPageBreak/>
              <w:t>предложения.</w:t>
            </w:r>
          </w:p>
        </w:tc>
        <w:tc>
          <w:tcPr>
            <w:tcW w:w="965" w:type="pct"/>
          </w:tcPr>
          <w:p w14:paraId="7B81FA1A" w14:textId="29C6D2D9" w:rsidR="00A96DCF" w:rsidRPr="002142C2" w:rsidRDefault="00A96DCF" w:rsidP="001B5CCB">
            <w:pPr>
              <w:pStyle w:val="TableParagraph"/>
              <w:ind w:left="-7"/>
              <w:jc w:val="both"/>
            </w:pPr>
            <w:r w:rsidRPr="002142C2">
              <w:lastRenderedPageBreak/>
              <w:t>Обоснование указано в пункте 9 СТ.</w:t>
            </w:r>
          </w:p>
        </w:tc>
        <w:tc>
          <w:tcPr>
            <w:tcW w:w="834" w:type="pct"/>
          </w:tcPr>
          <w:p w14:paraId="41CAF363" w14:textId="77777777" w:rsidR="00A96DCF" w:rsidRPr="002142C2" w:rsidRDefault="00A96DCF" w:rsidP="00A96DCF">
            <w:pPr>
              <w:pStyle w:val="TableParagraph"/>
              <w:jc w:val="both"/>
            </w:pPr>
          </w:p>
        </w:tc>
        <w:tc>
          <w:tcPr>
            <w:tcW w:w="701" w:type="pct"/>
          </w:tcPr>
          <w:p w14:paraId="28A67C0A" w14:textId="77777777" w:rsidR="00A96DCF" w:rsidRPr="002142C2" w:rsidRDefault="00A96DCF" w:rsidP="00A96DCF">
            <w:pPr>
              <w:pStyle w:val="TableParagraph"/>
              <w:jc w:val="both"/>
            </w:pPr>
          </w:p>
        </w:tc>
      </w:tr>
      <w:tr w:rsidR="004B5DCD" w:rsidRPr="002142C2" w14:paraId="625F923A" w14:textId="5B49DEBF" w:rsidTr="005A45C1">
        <w:tc>
          <w:tcPr>
            <w:tcW w:w="132" w:type="pct"/>
          </w:tcPr>
          <w:p w14:paraId="3A2E13B1" w14:textId="77777777" w:rsidR="00A96DCF" w:rsidRPr="002142C2" w:rsidRDefault="00A96DCF" w:rsidP="004B452D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" w:type="pct"/>
          </w:tcPr>
          <w:p w14:paraId="14B6475E" w14:textId="73E29766" w:rsidR="00A96DCF" w:rsidRPr="002142C2" w:rsidRDefault="00A96DCF" w:rsidP="004B452D">
            <w:pPr>
              <w:tabs>
                <w:tab w:val="left" w:pos="467"/>
              </w:tabs>
              <w:spacing w:after="0" w:line="240" w:lineRule="auto"/>
              <w:ind w:left="32"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bCs/>
              </w:rPr>
              <w:t>Приложение 12</w:t>
            </w:r>
          </w:p>
        </w:tc>
        <w:tc>
          <w:tcPr>
            <w:tcW w:w="1017" w:type="pct"/>
          </w:tcPr>
          <w:p w14:paraId="56D71678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Перечень товаров, работ и услуг, закупаемых способом из одного источника в случае, определенном подпунктом 17) пункта 1 статьи 59 Порядка</w:t>
            </w:r>
          </w:p>
          <w:p w14:paraId="1485E186" w14:textId="77777777" w:rsidR="00A96DCF" w:rsidRPr="002142C2" w:rsidRDefault="00A96DCF" w:rsidP="004B4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36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723"/>
              <w:gridCol w:w="1046"/>
              <w:gridCol w:w="1338"/>
            </w:tblGrid>
            <w:tr w:rsidR="00A96DCF" w:rsidRPr="002142C2" w14:paraId="2257C312" w14:textId="77777777" w:rsidTr="004B452D">
              <w:trPr>
                <w:trHeight w:val="558"/>
              </w:trPr>
              <w:tc>
                <w:tcPr>
                  <w:tcW w:w="747" w:type="pct"/>
                </w:tcPr>
                <w:p w14:paraId="6F2982AE" w14:textId="77777777" w:rsidR="00A96DCF" w:rsidRPr="002142C2" w:rsidRDefault="00A96DCF" w:rsidP="004B4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2142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990" w:type="pct"/>
                </w:tcPr>
                <w:p w14:paraId="26874579" w14:textId="77777777" w:rsidR="00A96DCF" w:rsidRPr="002142C2" w:rsidRDefault="00A96DCF" w:rsidP="004B4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2142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Код ТРУ</w:t>
                  </w:r>
                </w:p>
              </w:tc>
              <w:tc>
                <w:tcPr>
                  <w:tcW w:w="143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80FAF7" w14:textId="77777777" w:rsidR="00A96DCF" w:rsidRPr="002142C2" w:rsidRDefault="00A96DCF" w:rsidP="004B452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2142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183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89E90" w14:textId="77777777" w:rsidR="00A96DCF" w:rsidRPr="002142C2" w:rsidRDefault="00A96DCF" w:rsidP="004B452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2142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Краткая характеристика </w:t>
                  </w:r>
                </w:p>
              </w:tc>
            </w:tr>
            <w:tr w:rsidR="00A96DCF" w:rsidRPr="002142C2" w14:paraId="46E66A71" w14:textId="77777777" w:rsidTr="004B452D">
              <w:trPr>
                <w:trHeight w:val="627"/>
              </w:trPr>
              <w:tc>
                <w:tcPr>
                  <w:tcW w:w="747" w:type="pct"/>
                </w:tcPr>
                <w:p w14:paraId="1BE34B54" w14:textId="77777777" w:rsidR="00A96DCF" w:rsidRPr="002142C2" w:rsidRDefault="00A96DCF" w:rsidP="004B4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142C2">
                    <w:rPr>
                      <w:rFonts w:ascii="Times New Roman" w:hAnsi="Times New Roman" w:cs="Times New Roman"/>
                    </w:rPr>
                    <w:t>205</w:t>
                  </w:r>
                </w:p>
              </w:tc>
              <w:tc>
                <w:tcPr>
                  <w:tcW w:w="990" w:type="pct"/>
                </w:tcPr>
                <w:p w14:paraId="79CD9B6C" w14:textId="77777777" w:rsidR="00A96DCF" w:rsidRPr="002142C2" w:rsidRDefault="00A96DCF" w:rsidP="004B4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142C2">
                    <w:rPr>
                      <w:rFonts w:ascii="Times New Roman" w:hAnsi="Times New Roman" w:cs="Times New Roman"/>
                    </w:rPr>
                    <w:t>711219.900.010005</w:t>
                  </w:r>
                </w:p>
              </w:tc>
              <w:tc>
                <w:tcPr>
                  <w:tcW w:w="143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D06A21" w14:textId="77777777" w:rsidR="00A96DCF" w:rsidRPr="002142C2" w:rsidRDefault="00A96DCF" w:rsidP="004B452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Комплексные работы в инженерии нефтегазовой отрасли</w:t>
                  </w:r>
                </w:p>
              </w:tc>
              <w:tc>
                <w:tcPr>
                  <w:tcW w:w="183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46368" w14:textId="77777777" w:rsidR="00A96DCF" w:rsidRPr="002142C2" w:rsidRDefault="00A96DCF" w:rsidP="004B452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Комплексные работы в нефтегазовой отрасли, включающие выполнение инженерных, исследовательских, изыскательских, проектных работ и сопутствующее(</w:t>
                  </w:r>
                  <w:proofErr w:type="spellStart"/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ие</w:t>
                  </w:r>
                  <w:proofErr w:type="spellEnd"/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) указанным работам  оказание услуг (для закупок АО «</w:t>
                  </w:r>
                  <w:proofErr w:type="spellStart"/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Самрук-Қазына</w:t>
                  </w:r>
                  <w:proofErr w:type="spellEnd"/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» в соответств</w:t>
                  </w:r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ии с подпунктом 17) пункта 1 статьи 59 Порядка закупок АО «</w:t>
                  </w:r>
                  <w:proofErr w:type="spellStart"/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Самрук-Қазына</w:t>
                  </w:r>
                  <w:proofErr w:type="spellEnd"/>
                  <w:r w:rsidRPr="002142C2">
                    <w:rPr>
                      <w:rFonts w:ascii="Times New Roman" w:hAnsi="Times New Roman" w:cs="Times New Roman"/>
                      <w:color w:val="000000"/>
                    </w:rPr>
                    <w:t>»)</w:t>
                  </w:r>
                </w:p>
              </w:tc>
            </w:tr>
          </w:tbl>
          <w:p w14:paraId="108E4CD7" w14:textId="77777777" w:rsidR="00A96DCF" w:rsidRPr="002142C2" w:rsidRDefault="00A96DCF" w:rsidP="004B452D">
            <w:pPr>
              <w:pStyle w:val="a5"/>
              <w:tabs>
                <w:tab w:val="left" w:pos="709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FDCA15D" w14:textId="3E269B23" w:rsidR="00A96DCF" w:rsidRPr="002142C2" w:rsidRDefault="00A96DCF" w:rsidP="004B452D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  <w:bCs/>
              </w:rPr>
              <w:t>Пункт 205 применяется только в рамках закупок АО НК "</w:t>
            </w:r>
            <w:proofErr w:type="spellStart"/>
            <w:r w:rsidRPr="002142C2">
              <w:rPr>
                <w:rFonts w:ascii="Times New Roman" w:hAnsi="Times New Roman" w:cs="Times New Roman"/>
                <w:bCs/>
              </w:rPr>
              <w:t>КазМунайГаз</w:t>
            </w:r>
            <w:proofErr w:type="spellEnd"/>
            <w:r w:rsidRPr="002142C2">
              <w:rPr>
                <w:rFonts w:ascii="Times New Roman" w:hAnsi="Times New Roman" w:cs="Times New Roman"/>
                <w:bCs/>
              </w:rPr>
              <w:t>" и юридических лиц, пятьдесят и более процентов голосующих акций (долей участия) которых прямо или косвенно принадлежат АО НК "</w:t>
            </w:r>
            <w:proofErr w:type="spellStart"/>
            <w:r w:rsidRPr="002142C2">
              <w:rPr>
                <w:rFonts w:ascii="Times New Roman" w:hAnsi="Times New Roman" w:cs="Times New Roman"/>
                <w:bCs/>
              </w:rPr>
              <w:t>КазМунайГаз</w:t>
            </w:r>
            <w:proofErr w:type="spellEnd"/>
            <w:r w:rsidRPr="002142C2">
              <w:rPr>
                <w:rFonts w:ascii="Times New Roman" w:hAnsi="Times New Roman" w:cs="Times New Roman"/>
                <w:bCs/>
              </w:rPr>
              <w:t>" на праве собственности или доверительного управления, в объеме не более 75% по группе АО НК "</w:t>
            </w:r>
            <w:proofErr w:type="spellStart"/>
            <w:r w:rsidRPr="002142C2">
              <w:rPr>
                <w:rFonts w:ascii="Times New Roman" w:hAnsi="Times New Roman" w:cs="Times New Roman"/>
                <w:bCs/>
              </w:rPr>
              <w:t>КазМунайГаз</w:t>
            </w:r>
            <w:proofErr w:type="spellEnd"/>
            <w:r w:rsidRPr="002142C2">
              <w:rPr>
                <w:rFonts w:ascii="Times New Roman" w:hAnsi="Times New Roman" w:cs="Times New Roman"/>
                <w:bCs/>
              </w:rPr>
              <w:t>".</w:t>
            </w:r>
          </w:p>
        </w:tc>
        <w:tc>
          <w:tcPr>
            <w:tcW w:w="1053" w:type="pct"/>
          </w:tcPr>
          <w:p w14:paraId="6A1A6F0B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12529"/>
                <w:lang w:eastAsia="ru-RU"/>
              </w:rPr>
            </w:pPr>
            <w:r w:rsidRPr="002142C2">
              <w:rPr>
                <w:rFonts w:ascii="Times New Roman" w:hAnsi="Times New Roman" w:cs="Times New Roman"/>
                <w:b/>
                <w:color w:val="212529"/>
                <w:lang w:val="kk-KZ" w:eastAsia="ru-RU"/>
              </w:rPr>
              <w:lastRenderedPageBreak/>
              <w:t xml:space="preserve">Абзац четвертый строки </w:t>
            </w:r>
            <w:r w:rsidRPr="002142C2">
              <w:rPr>
                <w:rFonts w:ascii="Times New Roman" w:hAnsi="Times New Roman" w:cs="Times New Roman"/>
                <w:b/>
                <w:color w:val="212529"/>
                <w:lang w:eastAsia="ru-RU"/>
              </w:rPr>
              <w:t>205 изложить в следующей редакции:</w:t>
            </w:r>
          </w:p>
          <w:p w14:paraId="1322F754" w14:textId="77777777" w:rsidR="00A96DCF" w:rsidRPr="002142C2" w:rsidRDefault="00A96DCF" w:rsidP="004B452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212529"/>
                <w:lang w:eastAsia="ru-RU"/>
              </w:rPr>
            </w:pPr>
          </w:p>
          <w:p w14:paraId="3E2739D0" w14:textId="3F770E6F" w:rsidR="00A96DCF" w:rsidRPr="002142C2" w:rsidRDefault="00A96DCF" w:rsidP="004B452D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142C2">
              <w:rPr>
                <w:rFonts w:ascii="Times New Roman" w:hAnsi="Times New Roman" w:cs="Times New Roman"/>
              </w:rPr>
              <w:t>Пункт 205 применяется только в рамках закупок АО НК «</w:t>
            </w:r>
            <w:proofErr w:type="spellStart"/>
            <w:r w:rsidRPr="002142C2">
              <w:rPr>
                <w:rFonts w:ascii="Times New Roman" w:hAnsi="Times New Roman" w:cs="Times New Roman"/>
              </w:rPr>
              <w:t>КазМунайГаз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», </w:t>
            </w:r>
            <w:r w:rsidRPr="002142C2">
              <w:rPr>
                <w:rFonts w:ascii="Times New Roman" w:hAnsi="Times New Roman" w:cs="Times New Roman"/>
                <w:b/>
                <w:bCs/>
              </w:rPr>
              <w:t>АО «НК «</w:t>
            </w:r>
            <w:proofErr w:type="spellStart"/>
            <w:r w:rsidRPr="002142C2">
              <w:rPr>
                <w:rFonts w:ascii="Times New Roman" w:hAnsi="Times New Roman" w:cs="Times New Roman"/>
                <w:b/>
                <w:bCs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  <w:b/>
                <w:bCs/>
              </w:rPr>
              <w:t>»</w:t>
            </w:r>
            <w:r w:rsidRPr="002142C2">
              <w:rPr>
                <w:rFonts w:ascii="Times New Roman" w:hAnsi="Times New Roman" w:cs="Times New Roman"/>
              </w:rPr>
              <w:t xml:space="preserve"> и юридических лиц, пятьдесят и более процентов голосующих акций (долей участия), которых прямо или косвенно принадлежат АО НК «</w:t>
            </w:r>
            <w:proofErr w:type="spellStart"/>
            <w:r w:rsidRPr="002142C2">
              <w:rPr>
                <w:rFonts w:ascii="Times New Roman" w:hAnsi="Times New Roman" w:cs="Times New Roman"/>
              </w:rPr>
              <w:t>КазМунайГаз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» </w:t>
            </w:r>
            <w:r w:rsidRPr="002142C2">
              <w:rPr>
                <w:rFonts w:ascii="Times New Roman" w:hAnsi="Times New Roman" w:cs="Times New Roman"/>
                <w:b/>
                <w:bCs/>
              </w:rPr>
              <w:t>и/или АО «НК «</w:t>
            </w:r>
            <w:proofErr w:type="spellStart"/>
            <w:r w:rsidRPr="002142C2">
              <w:rPr>
                <w:rFonts w:ascii="Times New Roman" w:hAnsi="Times New Roman" w:cs="Times New Roman"/>
                <w:b/>
                <w:bCs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  <w:b/>
                <w:bCs/>
              </w:rPr>
              <w:t>»</w:t>
            </w:r>
            <w:r w:rsidRPr="002142C2">
              <w:rPr>
                <w:rFonts w:ascii="Times New Roman" w:hAnsi="Times New Roman" w:cs="Times New Roman"/>
              </w:rPr>
              <w:t xml:space="preserve"> на праве собственности или доверительного управления, в объеме не более 75% по группе АО НК «</w:t>
            </w:r>
            <w:proofErr w:type="spellStart"/>
            <w:r w:rsidRPr="002142C2">
              <w:rPr>
                <w:rFonts w:ascii="Times New Roman" w:hAnsi="Times New Roman" w:cs="Times New Roman"/>
              </w:rPr>
              <w:t>КазМунайГаз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» </w:t>
            </w:r>
            <w:r w:rsidRPr="002142C2">
              <w:rPr>
                <w:rFonts w:ascii="Times New Roman" w:hAnsi="Times New Roman" w:cs="Times New Roman"/>
                <w:b/>
                <w:bCs/>
              </w:rPr>
              <w:t>и/или</w:t>
            </w:r>
            <w:r w:rsidRPr="002142C2">
              <w:rPr>
                <w:rFonts w:ascii="Times New Roman" w:hAnsi="Times New Roman" w:cs="Times New Roman"/>
              </w:rPr>
              <w:t xml:space="preserve"> </w:t>
            </w:r>
            <w:r w:rsidRPr="002142C2">
              <w:rPr>
                <w:rFonts w:ascii="Times New Roman" w:hAnsi="Times New Roman" w:cs="Times New Roman"/>
                <w:b/>
              </w:rPr>
              <w:t>в объеме не более 75% по группе</w:t>
            </w:r>
            <w:r w:rsidRPr="002142C2">
              <w:rPr>
                <w:rFonts w:ascii="Times New Roman" w:hAnsi="Times New Roman" w:cs="Times New Roman"/>
              </w:rPr>
              <w:t xml:space="preserve"> </w:t>
            </w:r>
            <w:r w:rsidRPr="002142C2">
              <w:rPr>
                <w:rFonts w:ascii="Times New Roman" w:hAnsi="Times New Roman" w:cs="Times New Roman"/>
                <w:b/>
                <w:bCs/>
              </w:rPr>
              <w:t>АО «НК «</w:t>
            </w:r>
            <w:proofErr w:type="spellStart"/>
            <w:r w:rsidRPr="002142C2">
              <w:rPr>
                <w:rFonts w:ascii="Times New Roman" w:hAnsi="Times New Roman" w:cs="Times New Roman"/>
                <w:b/>
                <w:bCs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  <w:b/>
                <w:bCs/>
              </w:rPr>
              <w:t>»</w:t>
            </w:r>
            <w:r w:rsidRPr="00214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5" w:type="pct"/>
          </w:tcPr>
          <w:p w14:paraId="557185A6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В настоящее время в газовой отрасли наблюдается потребность в диверсификации источников ресурсной базы товарного раза. Требуется поиск новых месторождений газа, а также стимулирование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недропользователей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на добычу газа с имеющихся месторождений. В условиях надвигающегося дефицита увеличение ресурсной базы газа через развитие геологоразведочных работ и добычи является стратегически важным приоритетом для </w:t>
            </w:r>
            <w:proofErr w:type="spellStart"/>
            <w:r w:rsidRPr="002142C2">
              <w:rPr>
                <w:rFonts w:ascii="Times New Roman" w:hAnsi="Times New Roman" w:cs="Times New Roman"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.  </w:t>
            </w:r>
          </w:p>
          <w:p w14:paraId="7F211C86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В этой связи с целью поиска новых месторождений, поддержания должного уровня добычи, повышения эффективности их разработки необходимо комплексное научно-инжиниринговое сопровождение, предполагающее выполнение сложных научно-прикладных задач и лабораторно-аналитических исследований.</w:t>
            </w:r>
          </w:p>
          <w:p w14:paraId="34503E1C" w14:textId="77777777" w:rsidR="00A96DCF" w:rsidRPr="002142C2" w:rsidRDefault="00A96DCF" w:rsidP="004B452D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С 2020 года значительно сокращен перечень работ, выполняемых в рамках внутрихолдинговой кооперации, в том числе 12 </w:t>
            </w:r>
            <w:r w:rsidRPr="002142C2">
              <w:rPr>
                <w:rFonts w:ascii="Times New Roman" w:hAnsi="Times New Roman" w:cs="Times New Roman"/>
              </w:rPr>
              <w:lastRenderedPageBreak/>
              <w:t xml:space="preserve">видов работ. Исключения этих видов работ из перечня ТРУ, закупаемых из одного источника, привело к тому, что ДЗО </w:t>
            </w:r>
            <w:proofErr w:type="spellStart"/>
            <w:r w:rsidRPr="002142C2">
              <w:rPr>
                <w:rFonts w:ascii="Times New Roman" w:hAnsi="Times New Roman" w:cs="Times New Roman"/>
                <w:lang w:val="en-US"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вынуждены закупать работы путем проведения конкурсного отбора. Тендерные процедуры занимают много времени, но вопросы на месторождениях требуют незамедлительного вмешательства и принятия соответствующих решений, при этом не все привлеченные сторонние организации могут оперативно предложить должные технологические и проектные решения.</w:t>
            </w:r>
          </w:p>
          <w:p w14:paraId="056B94B6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Организации, выполняющие научно-исследовательские и проектные работы в сфере недропользования, как правило, не обладают необходимыми ресурсами, в частности, они не имеют постоянного штата персонала, лицензионного программного обеспечения, собственной базы (офисные складские помещения, лаборатории) современного оборудования и технологических установок. Зачастую такие организации относятся к проектам как к «разовым работам», что приводит к утере базы данных, </w:t>
            </w:r>
            <w:r w:rsidRPr="002142C2">
              <w:rPr>
                <w:rFonts w:ascii="Times New Roman" w:hAnsi="Times New Roman" w:cs="Times New Roman"/>
              </w:rPr>
              <w:lastRenderedPageBreak/>
              <w:t xml:space="preserve">отсутствию преемственности проектных решений и исключает формирование научной базы изучаемых объектов и его постоянного развития. Первоочередной целью частных НИИ является получение дохода, в отличие от </w:t>
            </w:r>
            <w:proofErr w:type="spellStart"/>
            <w:r w:rsidRPr="002142C2">
              <w:rPr>
                <w:rFonts w:ascii="Times New Roman" w:hAnsi="Times New Roman" w:cs="Times New Roman"/>
                <w:lang w:val="en-US"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</w:t>
            </w:r>
            <w:r w:rsidRPr="002142C2">
              <w:rPr>
                <w:rFonts w:ascii="Times New Roman" w:hAnsi="Times New Roman" w:cs="Times New Roman"/>
                <w:lang w:val="kk-KZ"/>
              </w:rPr>
              <w:t>НТЦ</w:t>
            </w:r>
            <w:r w:rsidRPr="002142C2">
              <w:rPr>
                <w:rFonts w:ascii="Times New Roman" w:hAnsi="Times New Roman" w:cs="Times New Roman"/>
              </w:rPr>
              <w:t xml:space="preserve">, который согласно </w:t>
            </w:r>
            <w:proofErr w:type="gramStart"/>
            <w:r w:rsidRPr="002142C2">
              <w:rPr>
                <w:rFonts w:ascii="Times New Roman" w:hAnsi="Times New Roman" w:cs="Times New Roman"/>
              </w:rPr>
              <w:t>политике</w:t>
            </w:r>
            <w:proofErr w:type="gramEnd"/>
            <w:r w:rsidRPr="00214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2C2">
              <w:rPr>
                <w:rFonts w:ascii="Times New Roman" w:hAnsi="Times New Roman" w:cs="Times New Roman"/>
                <w:lang w:val="en-US"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работает по принципу «без прибыли и без убытков», и решает не только производственные задачи Национального оператора, но также прямо или косвенно участвует в реализации государственной политики.</w:t>
            </w:r>
          </w:p>
          <w:p w14:paraId="0B34CA1C" w14:textId="77777777" w:rsidR="00A96DCF" w:rsidRPr="002142C2" w:rsidRDefault="00A96DCF" w:rsidP="004B452D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Необходимо понимать, что научно-обоснованные качественные проектные решения напрямую влияют на увеличение ресурсной базы, вовлечение в разработку </w:t>
            </w:r>
            <w:proofErr w:type="spellStart"/>
            <w:r w:rsidRPr="002142C2">
              <w:rPr>
                <w:rFonts w:ascii="Times New Roman" w:hAnsi="Times New Roman" w:cs="Times New Roman"/>
              </w:rPr>
              <w:t>трудноизвлекаемых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запасов и удержание текущего потенциала действующих месторождений с применением новых технологий и на положительный эффект ряда других мероприятий.</w:t>
            </w:r>
          </w:p>
          <w:p w14:paraId="033A4C4C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Кроме того, наличие «под боком» собственной корпоративной научно-технологической организации </w:t>
            </w:r>
            <w:r w:rsidRPr="002142C2">
              <w:rPr>
                <w:rFonts w:ascii="Times New Roman" w:hAnsi="Times New Roman" w:cs="Times New Roman"/>
              </w:rPr>
              <w:lastRenderedPageBreak/>
              <w:t xml:space="preserve">является стандартной мировой практикой. Как правило, данные организации относятся к стратегическим и приоритетным, так как принимают непосредственное участие в реализации государственной политики. </w:t>
            </w:r>
          </w:p>
          <w:p w14:paraId="6E8DB4F5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К примеру, следующие транснациональные корпорации владеют аналогичными КМГИ дочерними организациями: </w:t>
            </w:r>
          </w:p>
          <w:p w14:paraId="4D64016F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proofErr w:type="spellStart"/>
            <w:r w:rsidRPr="002142C2">
              <w:rPr>
                <w:rFonts w:ascii="Times New Roman" w:hAnsi="Times New Roman" w:cs="Times New Roman"/>
              </w:rPr>
              <w:t>Chevron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– ETC </w:t>
            </w:r>
            <w:proofErr w:type="spellStart"/>
            <w:r w:rsidRPr="002142C2">
              <w:rPr>
                <w:rFonts w:ascii="Times New Roman" w:hAnsi="Times New Roman" w:cs="Times New Roman"/>
              </w:rPr>
              <w:t>Chevron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;                </w:t>
            </w:r>
          </w:p>
          <w:p w14:paraId="1097D56C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proofErr w:type="spellStart"/>
            <w:r w:rsidRPr="002142C2">
              <w:rPr>
                <w:rFonts w:ascii="Times New Roman" w:hAnsi="Times New Roman" w:cs="Times New Roman"/>
              </w:rPr>
              <w:t>Total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142C2">
              <w:rPr>
                <w:rFonts w:ascii="Times New Roman" w:hAnsi="Times New Roman" w:cs="Times New Roman"/>
              </w:rPr>
              <w:t>Total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PAU;                          </w:t>
            </w:r>
          </w:p>
          <w:p w14:paraId="2BE33866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  <w:lang w:val="en-US"/>
              </w:rPr>
            </w:pPr>
            <w:r w:rsidRPr="002142C2">
              <w:rPr>
                <w:rFonts w:ascii="Times New Roman" w:hAnsi="Times New Roman" w:cs="Times New Roman"/>
                <w:lang w:val="en-US"/>
              </w:rPr>
              <w:t xml:space="preserve">ENI – ENI San Milano Donates;       </w:t>
            </w:r>
          </w:p>
          <w:p w14:paraId="46F76251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proofErr w:type="spellStart"/>
            <w:r w:rsidRPr="002142C2">
              <w:rPr>
                <w:rFonts w:ascii="Times New Roman" w:hAnsi="Times New Roman" w:cs="Times New Roman"/>
              </w:rPr>
              <w:t>Shell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142C2">
              <w:rPr>
                <w:rFonts w:ascii="Times New Roman" w:hAnsi="Times New Roman" w:cs="Times New Roman"/>
              </w:rPr>
              <w:t>Global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2C2">
              <w:rPr>
                <w:rFonts w:ascii="Times New Roman" w:hAnsi="Times New Roman" w:cs="Times New Roman"/>
              </w:rPr>
              <w:t>Solutions</w:t>
            </w:r>
            <w:proofErr w:type="spellEnd"/>
            <w:r w:rsidRPr="002142C2">
              <w:rPr>
                <w:rFonts w:ascii="Times New Roman" w:hAnsi="Times New Roman" w:cs="Times New Roman"/>
              </w:rPr>
              <w:t>;</w:t>
            </w:r>
          </w:p>
          <w:p w14:paraId="1B839F49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CNPC – RIPED;                       </w:t>
            </w:r>
          </w:p>
          <w:p w14:paraId="23826F8A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SINOPEC – НИИ SINOPEC;      </w:t>
            </w:r>
          </w:p>
          <w:p w14:paraId="5DFDC790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Лукойл - ЛУКОЙЛ-Инжиниринг;</w:t>
            </w:r>
          </w:p>
          <w:p w14:paraId="6BDDD59F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Роснефть - Корпоративный научно-проектный комплекс Роснефть;</w:t>
            </w:r>
          </w:p>
          <w:p w14:paraId="38592DB2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>Газпром нефть - Научно-Технический Центр Газпром нефть;</w:t>
            </w:r>
          </w:p>
          <w:p w14:paraId="503AE619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lastRenderedPageBreak/>
              <w:t>Татнефть - Центр технологического развития Татнефть;</w:t>
            </w:r>
          </w:p>
          <w:p w14:paraId="7E9A1E27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proofErr w:type="spellStart"/>
            <w:r w:rsidRPr="002142C2">
              <w:rPr>
                <w:rFonts w:ascii="Times New Roman" w:hAnsi="Times New Roman" w:cs="Times New Roman"/>
              </w:rPr>
              <w:t>Зарубежнефть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– ВНИИНЕФТЬ, ГИПРОВОСТОКНЕФТЬ;</w:t>
            </w:r>
          </w:p>
          <w:p w14:paraId="7983AC89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142C2">
              <w:rPr>
                <w:rFonts w:ascii="Times New Roman" w:hAnsi="Times New Roman" w:cs="Times New Roman"/>
              </w:rPr>
              <w:t>Башнефть</w:t>
            </w:r>
            <w:proofErr w:type="spellEnd"/>
            <w:r w:rsidRPr="002142C2">
              <w:rPr>
                <w:rFonts w:ascii="Times New Roman" w:hAnsi="Times New Roman" w:cs="Times New Roman"/>
              </w:rPr>
              <w:t>  -</w:t>
            </w:r>
            <w:proofErr w:type="gramEnd"/>
            <w:r w:rsidRPr="00214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2C2">
              <w:rPr>
                <w:rFonts w:ascii="Times New Roman" w:hAnsi="Times New Roman" w:cs="Times New Roman"/>
              </w:rPr>
              <w:t>БашНИПИнефть</w:t>
            </w:r>
            <w:proofErr w:type="spellEnd"/>
            <w:r w:rsidRPr="002142C2">
              <w:rPr>
                <w:rFonts w:ascii="Times New Roman" w:hAnsi="Times New Roman" w:cs="Times New Roman"/>
              </w:rPr>
              <w:t>;</w:t>
            </w:r>
          </w:p>
          <w:p w14:paraId="4B7EF30A" w14:textId="77777777" w:rsidR="00A96DCF" w:rsidRPr="002142C2" w:rsidRDefault="00A96DCF" w:rsidP="004B452D">
            <w:pPr>
              <w:numPr>
                <w:ilvl w:val="0"/>
                <w:numId w:val="15"/>
              </w:numPr>
              <w:spacing w:after="0" w:line="240" w:lineRule="auto"/>
              <w:ind w:left="0" w:firstLine="41"/>
              <w:rPr>
                <w:rFonts w:ascii="Times New Roman" w:hAnsi="Times New Roman" w:cs="Times New Roman"/>
              </w:rPr>
            </w:pPr>
            <w:proofErr w:type="gramStart"/>
            <w:r w:rsidRPr="002142C2">
              <w:rPr>
                <w:rFonts w:ascii="Times New Roman" w:hAnsi="Times New Roman" w:cs="Times New Roman"/>
              </w:rPr>
              <w:t>SOCAR  -</w:t>
            </w:r>
            <w:proofErr w:type="gramEnd"/>
            <w:r w:rsidRPr="002142C2">
              <w:rPr>
                <w:rFonts w:ascii="Times New Roman" w:hAnsi="Times New Roman" w:cs="Times New Roman"/>
              </w:rPr>
              <w:t xml:space="preserve"> НИПИ SOCAR  и т.д.</w:t>
            </w:r>
          </w:p>
          <w:p w14:paraId="603E966E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ab/>
              <w:t>Вышеуказанный пример отражает лишь одну часть направлений деятельности ТОО «</w:t>
            </w:r>
            <w:proofErr w:type="spellStart"/>
            <w:r w:rsidRPr="002142C2">
              <w:rPr>
                <w:rFonts w:ascii="Times New Roman" w:hAnsi="Times New Roman" w:cs="Times New Roman"/>
              </w:rPr>
              <w:t>QazaqGaz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НТЦ». Однако, имеется ряд крупных проблемных вопросов газового хозяйства: диагностика объектов и оборудования ДЗО, научно-исследовательские работы, трансферт инновации и технологии в процессы эксплуатации оборудования, </w:t>
            </w:r>
            <w:proofErr w:type="spellStart"/>
            <w:r w:rsidRPr="002142C2">
              <w:rPr>
                <w:rFonts w:ascii="Times New Roman" w:hAnsi="Times New Roman" w:cs="Times New Roman"/>
              </w:rPr>
              <w:t>цифровизация</w:t>
            </w:r>
            <w:proofErr w:type="spellEnd"/>
            <w:r w:rsidRPr="002142C2">
              <w:rPr>
                <w:rFonts w:ascii="Times New Roman" w:hAnsi="Times New Roman" w:cs="Times New Roman"/>
              </w:rPr>
              <w:t>, повышение компетенций работников, разработка и внедрение нормативно-технических документов и формирование единой базы нормативов.</w:t>
            </w:r>
          </w:p>
          <w:p w14:paraId="01E1AFEA" w14:textId="5C1DE4F5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hAnsi="Times New Roman" w:cs="Times New Roman"/>
              </w:rPr>
              <w:t xml:space="preserve">Корпоративные научно-исследовательские и проектные организации являются неотъемлемой частью вертикально-интегрированных компаний.  В свете выхода </w:t>
            </w:r>
            <w:proofErr w:type="spellStart"/>
            <w:r w:rsidRPr="002142C2">
              <w:rPr>
                <w:rFonts w:ascii="Times New Roman" w:hAnsi="Times New Roman" w:cs="Times New Roman"/>
                <w:lang w:val="en-US"/>
              </w:rPr>
              <w:lastRenderedPageBreak/>
              <w:t>QazaqGaz</w:t>
            </w:r>
            <w:proofErr w:type="spellEnd"/>
            <w:r w:rsidRPr="002142C2">
              <w:rPr>
                <w:rFonts w:ascii="Times New Roman" w:hAnsi="Times New Roman" w:cs="Times New Roman"/>
              </w:rPr>
              <w:t xml:space="preserve"> на </w:t>
            </w:r>
            <w:r w:rsidRPr="002142C2">
              <w:rPr>
                <w:rFonts w:ascii="Times New Roman" w:hAnsi="Times New Roman" w:cs="Times New Roman"/>
                <w:lang w:val="en-US"/>
              </w:rPr>
              <w:t>IPO</w:t>
            </w:r>
            <w:r w:rsidRPr="002142C2">
              <w:rPr>
                <w:rFonts w:ascii="Times New Roman" w:hAnsi="Times New Roman" w:cs="Times New Roman"/>
              </w:rPr>
              <w:t xml:space="preserve"> это дает дополнительные преимущества как по стоимости ценных бумаг, так и влияет на глобальный рейтинг компании. </w:t>
            </w:r>
          </w:p>
        </w:tc>
        <w:tc>
          <w:tcPr>
            <w:tcW w:w="834" w:type="pct"/>
          </w:tcPr>
          <w:p w14:paraId="40CE9F26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" w:type="pct"/>
          </w:tcPr>
          <w:p w14:paraId="3BF3352E" w14:textId="77777777" w:rsidR="00A96DCF" w:rsidRPr="002142C2" w:rsidRDefault="00A96DCF" w:rsidP="004B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B5DCD" w:rsidRPr="002142C2" w14:paraId="6B93DEF1" w14:textId="18076546" w:rsidTr="005A45C1">
        <w:tc>
          <w:tcPr>
            <w:tcW w:w="132" w:type="pct"/>
          </w:tcPr>
          <w:p w14:paraId="7F78F244" w14:textId="77777777" w:rsidR="00A96DCF" w:rsidRPr="002142C2" w:rsidRDefault="00A96DCF" w:rsidP="00792A3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" w:type="pct"/>
          </w:tcPr>
          <w:p w14:paraId="5DF305B3" w14:textId="606B633F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left="32"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Приложение 14</w:t>
            </w:r>
          </w:p>
        </w:tc>
        <w:tc>
          <w:tcPr>
            <w:tcW w:w="1017" w:type="pct"/>
          </w:tcPr>
          <w:p w14:paraId="4F2E8C8D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Приложение № 14 к Порядку</w:t>
            </w:r>
          </w:p>
          <w:p w14:paraId="47D2E5F9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CD58C1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D288AD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В тендерную комиссию АО/ТОО _________________   </w:t>
            </w:r>
          </w:p>
          <w:p w14:paraId="07D24745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              (наименование Заказчика)</w:t>
            </w:r>
          </w:p>
          <w:p w14:paraId="2904C8A8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от: ____________________ </w:t>
            </w:r>
          </w:p>
          <w:p w14:paraId="37929D6A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  (ФИО специалиста)</w:t>
            </w:r>
          </w:p>
          <w:p w14:paraId="0EADB0D2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651C71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00DEB7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Согласие на привлечение в качестве специалиста для выполнения работ/оказания услуг</w:t>
            </w:r>
          </w:p>
          <w:p w14:paraId="2E6CC6C8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12B841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Я,_________________________________________________ (ФИО), ________________(№ документа, удостоверяющего личность, дата и орган выдачи), __________ (ИИН), </w:t>
            </w:r>
            <w:r w:rsidRPr="002142C2">
              <w:rPr>
                <w:rFonts w:ascii="Times New Roman" w:eastAsia="Times New Roman" w:hAnsi="Times New Roman" w:cs="Times New Roman"/>
                <w:b/>
                <w:strike/>
              </w:rPr>
              <w:t>проживающий по адресу ___________________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, даю свое согласие _________________ (наименование потенциального поставщика, </w:t>
            </w:r>
            <w:r w:rsidRPr="002142C2">
              <w:rPr>
                <w:rFonts w:ascii="Times New Roman" w:eastAsia="Times New Roman" w:hAnsi="Times New Roman" w:cs="Times New Roman"/>
                <w:b/>
                <w:strike/>
              </w:rPr>
              <w:t>БИН</w:t>
            </w:r>
            <w:r w:rsidRPr="002142C2">
              <w:rPr>
                <w:rFonts w:ascii="Times New Roman" w:eastAsia="Times New Roman" w:hAnsi="Times New Roman" w:cs="Times New Roman"/>
              </w:rPr>
              <w:t xml:space="preserve">) на привлечение меня в качестве специалиста ______________ (наименование специальности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данного специалиста, указанной в тендерной заявке потенциального поставщика) для выполнения работ/оказания услуг ____________ (наименование работ/услуг по тендеру (лоту).</w:t>
            </w:r>
          </w:p>
        </w:tc>
        <w:tc>
          <w:tcPr>
            <w:tcW w:w="1053" w:type="pct"/>
          </w:tcPr>
          <w:p w14:paraId="4F336809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Приложение </w:t>
            </w:r>
            <w:r w:rsidRPr="002142C2">
              <w:rPr>
                <w:rFonts w:ascii="Times New Roman" w:eastAsia="Times New Roman" w:hAnsi="Times New Roman" w:cs="Times New Roman"/>
                <w:b/>
              </w:rPr>
              <w:t>№ 14 к Порядку изложить в следующей редакции:</w:t>
            </w:r>
          </w:p>
          <w:p w14:paraId="022AF39F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D0BFC7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В тендерную комиссию АО/ТОО _________________   </w:t>
            </w:r>
          </w:p>
          <w:p w14:paraId="175A04CC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              (наименование Заказчика)</w:t>
            </w:r>
          </w:p>
          <w:p w14:paraId="7376C5DF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от: ____________________ </w:t>
            </w:r>
          </w:p>
          <w:p w14:paraId="2E91EBF5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  (ФИО специалиста)</w:t>
            </w:r>
          </w:p>
          <w:p w14:paraId="2F15D7DE" w14:textId="2813AE44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42C2">
              <w:rPr>
                <w:rFonts w:ascii="Times New Roman" w:eastAsia="Times New Roman" w:hAnsi="Times New Roman" w:cs="Times New Roman"/>
                <w:b/>
              </w:rPr>
              <w:t>Сотовый телефон: _________________</w:t>
            </w:r>
          </w:p>
          <w:p w14:paraId="74072C86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43F874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>Согласие на привлечение в качестве специалиста для выполнения работ/оказания услуг</w:t>
            </w:r>
          </w:p>
          <w:p w14:paraId="149F6A03" w14:textId="77777777" w:rsidR="00A96DCF" w:rsidRPr="002142C2" w:rsidRDefault="00A96DCF" w:rsidP="00792A37">
            <w:pPr>
              <w:tabs>
                <w:tab w:val="left" w:pos="31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B2AFD5" w14:textId="77777777" w:rsidR="00A96DCF" w:rsidRPr="002142C2" w:rsidRDefault="00A96DCF" w:rsidP="00792A37">
            <w:pPr>
              <w:tabs>
                <w:tab w:val="left" w:pos="467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Я,_________________________________________________ (ФИО), ________________(№ документа, удостоверяющего личность, дата и орган выдачи), __________ (ИИН), даю свое согласие _________________ (наименование потенциального поставщика) на привлечение меня в качестве специалиста ______________ (наименование специальности данного специалиста, указанной в </w:t>
            </w:r>
            <w:r w:rsidRPr="002142C2">
              <w:rPr>
                <w:rFonts w:ascii="Times New Roman" w:eastAsia="Times New Roman" w:hAnsi="Times New Roman" w:cs="Times New Roman"/>
              </w:rPr>
              <w:lastRenderedPageBreak/>
              <w:t>тендерной заявке потенциального поставщика) для выполнения работ/оказания услуг ____________ (наименование работ/услуг по тендеру (лоту).</w:t>
            </w:r>
          </w:p>
        </w:tc>
        <w:tc>
          <w:tcPr>
            <w:tcW w:w="965" w:type="pct"/>
          </w:tcPr>
          <w:p w14:paraId="406B79D4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lastRenderedPageBreak/>
              <w:t>В целях предоставления возможности уточнить информацию о достоверности представленного согласия о привлечении физического лица в качестве специалиста предлагается дополнить форму сведениями о сотовом телефоне специалиста.</w:t>
            </w:r>
          </w:p>
          <w:p w14:paraId="5C1067CD" w14:textId="7134491E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2C2">
              <w:rPr>
                <w:rFonts w:ascii="Times New Roman" w:eastAsia="Times New Roman" w:hAnsi="Times New Roman" w:cs="Times New Roman"/>
              </w:rPr>
              <w:t xml:space="preserve">Также предлагается исключить сведения по адресу проживания и </w:t>
            </w:r>
            <w:proofErr w:type="spellStart"/>
            <w:r w:rsidRPr="002142C2">
              <w:rPr>
                <w:rFonts w:ascii="Times New Roman" w:eastAsia="Times New Roman" w:hAnsi="Times New Roman" w:cs="Times New Roman"/>
              </w:rPr>
              <w:t>БИНу</w:t>
            </w:r>
            <w:proofErr w:type="spellEnd"/>
            <w:r w:rsidRPr="002142C2">
              <w:rPr>
                <w:rFonts w:ascii="Times New Roman" w:eastAsia="Times New Roman" w:hAnsi="Times New Roman" w:cs="Times New Roman"/>
              </w:rPr>
              <w:t xml:space="preserve"> потенциального поставщика в целях минимизации случаев допущения формальных ошибок при заполнении указанной формы со стороны потенциальных поставщиков.</w:t>
            </w:r>
          </w:p>
        </w:tc>
        <w:tc>
          <w:tcPr>
            <w:tcW w:w="834" w:type="pct"/>
          </w:tcPr>
          <w:p w14:paraId="666AC2A5" w14:textId="1F9699C2" w:rsidR="00A96DCF" w:rsidRPr="00A96DCF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1" w:type="pct"/>
          </w:tcPr>
          <w:p w14:paraId="6EC4E7F9" w14:textId="77777777" w:rsidR="00A96DCF" w:rsidRPr="002142C2" w:rsidRDefault="00A96DCF" w:rsidP="0079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DCB90A" w14:textId="77777777" w:rsidR="007571D7" w:rsidRPr="002142C2" w:rsidRDefault="007571D7" w:rsidP="00792A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7571D7" w:rsidRPr="002142C2" w:rsidSect="00221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7B9"/>
    <w:multiLevelType w:val="hybridMultilevel"/>
    <w:tmpl w:val="6F102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DE52CC4"/>
    <w:multiLevelType w:val="hybridMultilevel"/>
    <w:tmpl w:val="B0DEB9AE"/>
    <w:lvl w:ilvl="0" w:tplc="7AC67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6C9A1C" w:tentative="1">
      <w:start w:val="1"/>
      <w:numFmt w:val="lowerLetter"/>
      <w:lvlText w:val="%2."/>
      <w:lvlJc w:val="left"/>
      <w:pPr>
        <w:ind w:left="1440" w:hanging="360"/>
      </w:pPr>
    </w:lvl>
    <w:lvl w:ilvl="2" w:tplc="C022890C" w:tentative="1">
      <w:start w:val="1"/>
      <w:numFmt w:val="lowerRoman"/>
      <w:lvlText w:val="%3."/>
      <w:lvlJc w:val="right"/>
      <w:pPr>
        <w:ind w:left="2160" w:hanging="180"/>
      </w:pPr>
    </w:lvl>
    <w:lvl w:ilvl="3" w:tplc="0B4CDD3C" w:tentative="1">
      <w:start w:val="1"/>
      <w:numFmt w:val="decimal"/>
      <w:lvlText w:val="%4."/>
      <w:lvlJc w:val="left"/>
      <w:pPr>
        <w:ind w:left="2880" w:hanging="360"/>
      </w:pPr>
    </w:lvl>
    <w:lvl w:ilvl="4" w:tplc="F0463EA0" w:tentative="1">
      <w:start w:val="1"/>
      <w:numFmt w:val="lowerLetter"/>
      <w:lvlText w:val="%5."/>
      <w:lvlJc w:val="left"/>
      <w:pPr>
        <w:ind w:left="3600" w:hanging="360"/>
      </w:pPr>
    </w:lvl>
    <w:lvl w:ilvl="5" w:tplc="07F0C54C" w:tentative="1">
      <w:start w:val="1"/>
      <w:numFmt w:val="lowerRoman"/>
      <w:lvlText w:val="%6."/>
      <w:lvlJc w:val="right"/>
      <w:pPr>
        <w:ind w:left="4320" w:hanging="180"/>
      </w:pPr>
    </w:lvl>
    <w:lvl w:ilvl="6" w:tplc="81CACB4E" w:tentative="1">
      <w:start w:val="1"/>
      <w:numFmt w:val="decimal"/>
      <w:lvlText w:val="%7."/>
      <w:lvlJc w:val="left"/>
      <w:pPr>
        <w:ind w:left="5040" w:hanging="360"/>
      </w:pPr>
    </w:lvl>
    <w:lvl w:ilvl="7" w:tplc="E592C242" w:tentative="1">
      <w:start w:val="1"/>
      <w:numFmt w:val="lowerLetter"/>
      <w:lvlText w:val="%8."/>
      <w:lvlJc w:val="left"/>
      <w:pPr>
        <w:ind w:left="5760" w:hanging="360"/>
      </w:pPr>
    </w:lvl>
    <w:lvl w:ilvl="8" w:tplc="14348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5E49"/>
    <w:multiLevelType w:val="multilevel"/>
    <w:tmpl w:val="E2E2A0A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224C0E"/>
    <w:multiLevelType w:val="hybridMultilevel"/>
    <w:tmpl w:val="0E22AE1A"/>
    <w:lvl w:ilvl="0" w:tplc="3E186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B0179"/>
    <w:multiLevelType w:val="hybridMultilevel"/>
    <w:tmpl w:val="183ABA04"/>
    <w:lvl w:ilvl="0" w:tplc="9AB22F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C7DBF"/>
    <w:multiLevelType w:val="hybridMultilevel"/>
    <w:tmpl w:val="C90A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1C132B5"/>
    <w:multiLevelType w:val="hybridMultilevel"/>
    <w:tmpl w:val="1BFE2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04299"/>
    <w:multiLevelType w:val="hybridMultilevel"/>
    <w:tmpl w:val="45B46B0A"/>
    <w:lvl w:ilvl="0" w:tplc="F0B62ED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5E856B78"/>
    <w:multiLevelType w:val="hybridMultilevel"/>
    <w:tmpl w:val="7FB0003C"/>
    <w:lvl w:ilvl="0" w:tplc="131EC978">
      <w:start w:val="1"/>
      <w:numFmt w:val="decimal"/>
      <w:lvlText w:val="%1)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6A783D6E"/>
    <w:multiLevelType w:val="hybridMultilevel"/>
    <w:tmpl w:val="A6103194"/>
    <w:lvl w:ilvl="0" w:tplc="FA866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4792E"/>
    <w:multiLevelType w:val="hybridMultilevel"/>
    <w:tmpl w:val="0E22AE1A"/>
    <w:lvl w:ilvl="0" w:tplc="3E186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6767E"/>
    <w:multiLevelType w:val="hybridMultilevel"/>
    <w:tmpl w:val="6F102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4573"/>
    <w:multiLevelType w:val="hybridMultilevel"/>
    <w:tmpl w:val="0BF88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2811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7"/>
  </w:num>
  <w:num w:numId="2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13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15"/>
  </w:num>
  <w:num w:numId="11">
    <w:abstractNumId w:val="6"/>
  </w:num>
  <w:num w:numId="12">
    <w:abstractNumId w:val="9"/>
  </w:num>
  <w:num w:numId="13">
    <w:abstractNumId w:val="12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7"/>
    <w:rsid w:val="0000032C"/>
    <w:rsid w:val="000017FC"/>
    <w:rsid w:val="0000705B"/>
    <w:rsid w:val="00011532"/>
    <w:rsid w:val="00011B82"/>
    <w:rsid w:val="000378A0"/>
    <w:rsid w:val="00053500"/>
    <w:rsid w:val="000563FA"/>
    <w:rsid w:val="00074FC8"/>
    <w:rsid w:val="00080D95"/>
    <w:rsid w:val="0008168C"/>
    <w:rsid w:val="0008662D"/>
    <w:rsid w:val="00097476"/>
    <w:rsid w:val="000A0FBD"/>
    <w:rsid w:val="000B5C56"/>
    <w:rsid w:val="000C22D3"/>
    <w:rsid w:val="000C4915"/>
    <w:rsid w:val="000C4B8F"/>
    <w:rsid w:val="000C7ABD"/>
    <w:rsid w:val="000D3467"/>
    <w:rsid w:val="000E1A22"/>
    <w:rsid w:val="000E2F8D"/>
    <w:rsid w:val="000E70CB"/>
    <w:rsid w:val="000F02C4"/>
    <w:rsid w:val="000F6FBF"/>
    <w:rsid w:val="00100309"/>
    <w:rsid w:val="0010399F"/>
    <w:rsid w:val="0011266F"/>
    <w:rsid w:val="0011506A"/>
    <w:rsid w:val="00115D2C"/>
    <w:rsid w:val="00126949"/>
    <w:rsid w:val="001269D3"/>
    <w:rsid w:val="00133BDE"/>
    <w:rsid w:val="001360BA"/>
    <w:rsid w:val="00136E49"/>
    <w:rsid w:val="0013739A"/>
    <w:rsid w:val="00143E8A"/>
    <w:rsid w:val="00144326"/>
    <w:rsid w:val="00150D96"/>
    <w:rsid w:val="00151DD5"/>
    <w:rsid w:val="00153B93"/>
    <w:rsid w:val="00160528"/>
    <w:rsid w:val="00160E16"/>
    <w:rsid w:val="00171396"/>
    <w:rsid w:val="0017329B"/>
    <w:rsid w:val="00173A5B"/>
    <w:rsid w:val="00184351"/>
    <w:rsid w:val="001851DF"/>
    <w:rsid w:val="0019725D"/>
    <w:rsid w:val="001A181F"/>
    <w:rsid w:val="001A1EAF"/>
    <w:rsid w:val="001B2691"/>
    <w:rsid w:val="001B5CCB"/>
    <w:rsid w:val="001C6C03"/>
    <w:rsid w:val="001E2A02"/>
    <w:rsid w:val="001F0BEA"/>
    <w:rsid w:val="001F2C3C"/>
    <w:rsid w:val="001F773F"/>
    <w:rsid w:val="00206B55"/>
    <w:rsid w:val="002109EB"/>
    <w:rsid w:val="002141F9"/>
    <w:rsid w:val="002142C2"/>
    <w:rsid w:val="00221E61"/>
    <w:rsid w:val="00222A08"/>
    <w:rsid w:val="00226BE3"/>
    <w:rsid w:val="002307A1"/>
    <w:rsid w:val="00231B06"/>
    <w:rsid w:val="00244819"/>
    <w:rsid w:val="00244ADA"/>
    <w:rsid w:val="00255BCB"/>
    <w:rsid w:val="00260486"/>
    <w:rsid w:val="00262D6B"/>
    <w:rsid w:val="00265A44"/>
    <w:rsid w:val="00265B5C"/>
    <w:rsid w:val="0026744A"/>
    <w:rsid w:val="00272053"/>
    <w:rsid w:val="00272877"/>
    <w:rsid w:val="00281819"/>
    <w:rsid w:val="00282F00"/>
    <w:rsid w:val="002B4955"/>
    <w:rsid w:val="002B4E4D"/>
    <w:rsid w:val="002B7218"/>
    <w:rsid w:val="002D5154"/>
    <w:rsid w:val="002E1612"/>
    <w:rsid w:val="002E363C"/>
    <w:rsid w:val="002F710B"/>
    <w:rsid w:val="00302FEA"/>
    <w:rsid w:val="0031168C"/>
    <w:rsid w:val="003131E2"/>
    <w:rsid w:val="003145C1"/>
    <w:rsid w:val="00316D54"/>
    <w:rsid w:val="00334BB7"/>
    <w:rsid w:val="00340A85"/>
    <w:rsid w:val="00342AA4"/>
    <w:rsid w:val="00344D46"/>
    <w:rsid w:val="003526D5"/>
    <w:rsid w:val="0036011A"/>
    <w:rsid w:val="00361C90"/>
    <w:rsid w:val="003638BC"/>
    <w:rsid w:val="00373DD0"/>
    <w:rsid w:val="003741B7"/>
    <w:rsid w:val="00374EDE"/>
    <w:rsid w:val="00381984"/>
    <w:rsid w:val="003822C1"/>
    <w:rsid w:val="00382689"/>
    <w:rsid w:val="00385551"/>
    <w:rsid w:val="00385985"/>
    <w:rsid w:val="003862A8"/>
    <w:rsid w:val="003A0107"/>
    <w:rsid w:val="003B4B1A"/>
    <w:rsid w:val="003C5B02"/>
    <w:rsid w:val="003E00CB"/>
    <w:rsid w:val="003E0A59"/>
    <w:rsid w:val="00411EDB"/>
    <w:rsid w:val="0042266C"/>
    <w:rsid w:val="00424AAC"/>
    <w:rsid w:val="004257F3"/>
    <w:rsid w:val="00433F03"/>
    <w:rsid w:val="00434E95"/>
    <w:rsid w:val="00435E4D"/>
    <w:rsid w:val="00436418"/>
    <w:rsid w:val="0044039B"/>
    <w:rsid w:val="00440CD0"/>
    <w:rsid w:val="004427C6"/>
    <w:rsid w:val="00457DBA"/>
    <w:rsid w:val="004660CF"/>
    <w:rsid w:val="00484CFE"/>
    <w:rsid w:val="0048637B"/>
    <w:rsid w:val="00492174"/>
    <w:rsid w:val="00493886"/>
    <w:rsid w:val="004951BC"/>
    <w:rsid w:val="004A6581"/>
    <w:rsid w:val="004A73EA"/>
    <w:rsid w:val="004A7DC4"/>
    <w:rsid w:val="004A7F3F"/>
    <w:rsid w:val="004B452D"/>
    <w:rsid w:val="004B55A9"/>
    <w:rsid w:val="004B5DCD"/>
    <w:rsid w:val="004C1EC0"/>
    <w:rsid w:val="004C5E16"/>
    <w:rsid w:val="004C6A93"/>
    <w:rsid w:val="004D2E90"/>
    <w:rsid w:val="004E12F7"/>
    <w:rsid w:val="004E4BC6"/>
    <w:rsid w:val="004F08CD"/>
    <w:rsid w:val="005016D6"/>
    <w:rsid w:val="00503600"/>
    <w:rsid w:val="005055BF"/>
    <w:rsid w:val="00505D4B"/>
    <w:rsid w:val="00507E3D"/>
    <w:rsid w:val="00514482"/>
    <w:rsid w:val="00514F75"/>
    <w:rsid w:val="0051570D"/>
    <w:rsid w:val="005255DD"/>
    <w:rsid w:val="0053185D"/>
    <w:rsid w:val="00533BAC"/>
    <w:rsid w:val="00541F89"/>
    <w:rsid w:val="00545AE8"/>
    <w:rsid w:val="00546BE6"/>
    <w:rsid w:val="005474E1"/>
    <w:rsid w:val="005563C4"/>
    <w:rsid w:val="00560877"/>
    <w:rsid w:val="005634C4"/>
    <w:rsid w:val="00573CF0"/>
    <w:rsid w:val="00576078"/>
    <w:rsid w:val="00576976"/>
    <w:rsid w:val="0058725A"/>
    <w:rsid w:val="005A45C1"/>
    <w:rsid w:val="005A77B0"/>
    <w:rsid w:val="005B4B3A"/>
    <w:rsid w:val="005B505F"/>
    <w:rsid w:val="005C0D22"/>
    <w:rsid w:val="005C1911"/>
    <w:rsid w:val="005C2553"/>
    <w:rsid w:val="005C48C4"/>
    <w:rsid w:val="005C748E"/>
    <w:rsid w:val="005D0631"/>
    <w:rsid w:val="005D150F"/>
    <w:rsid w:val="005D5B40"/>
    <w:rsid w:val="005D6DB5"/>
    <w:rsid w:val="005E02A9"/>
    <w:rsid w:val="00601544"/>
    <w:rsid w:val="006069B1"/>
    <w:rsid w:val="00610583"/>
    <w:rsid w:val="0061267D"/>
    <w:rsid w:val="00615BAB"/>
    <w:rsid w:val="0062457A"/>
    <w:rsid w:val="00627D30"/>
    <w:rsid w:val="006335B5"/>
    <w:rsid w:val="00650C3D"/>
    <w:rsid w:val="00662491"/>
    <w:rsid w:val="00664111"/>
    <w:rsid w:val="00670412"/>
    <w:rsid w:val="0067340B"/>
    <w:rsid w:val="00674454"/>
    <w:rsid w:val="0067472A"/>
    <w:rsid w:val="006754BD"/>
    <w:rsid w:val="00690EAF"/>
    <w:rsid w:val="006925F9"/>
    <w:rsid w:val="00693B74"/>
    <w:rsid w:val="006965CA"/>
    <w:rsid w:val="006A1EF4"/>
    <w:rsid w:val="006A53E7"/>
    <w:rsid w:val="006B11F3"/>
    <w:rsid w:val="006B1F3E"/>
    <w:rsid w:val="006B6CB0"/>
    <w:rsid w:val="006C3E24"/>
    <w:rsid w:val="006C748F"/>
    <w:rsid w:val="006D4215"/>
    <w:rsid w:val="006E0FA7"/>
    <w:rsid w:val="006E1137"/>
    <w:rsid w:val="006E3FA5"/>
    <w:rsid w:val="006F7AC3"/>
    <w:rsid w:val="00707194"/>
    <w:rsid w:val="00710E61"/>
    <w:rsid w:val="007151E5"/>
    <w:rsid w:val="0072256E"/>
    <w:rsid w:val="00727D77"/>
    <w:rsid w:val="007354B8"/>
    <w:rsid w:val="00740A53"/>
    <w:rsid w:val="00751329"/>
    <w:rsid w:val="00754D7F"/>
    <w:rsid w:val="007571D7"/>
    <w:rsid w:val="00767524"/>
    <w:rsid w:val="00770288"/>
    <w:rsid w:val="00777B52"/>
    <w:rsid w:val="00785369"/>
    <w:rsid w:val="00786125"/>
    <w:rsid w:val="00791B36"/>
    <w:rsid w:val="00792A37"/>
    <w:rsid w:val="00796186"/>
    <w:rsid w:val="00797978"/>
    <w:rsid w:val="007A5EEE"/>
    <w:rsid w:val="007A6CA4"/>
    <w:rsid w:val="007B33A4"/>
    <w:rsid w:val="007D0859"/>
    <w:rsid w:val="007E0103"/>
    <w:rsid w:val="007E0632"/>
    <w:rsid w:val="007E0FB3"/>
    <w:rsid w:val="007E5422"/>
    <w:rsid w:val="007E5647"/>
    <w:rsid w:val="007E7B1F"/>
    <w:rsid w:val="007F39B8"/>
    <w:rsid w:val="007F5C69"/>
    <w:rsid w:val="008010B9"/>
    <w:rsid w:val="008106A2"/>
    <w:rsid w:val="00814E35"/>
    <w:rsid w:val="00815E05"/>
    <w:rsid w:val="0082750D"/>
    <w:rsid w:val="00831863"/>
    <w:rsid w:val="008320F7"/>
    <w:rsid w:val="008343BE"/>
    <w:rsid w:val="008440A3"/>
    <w:rsid w:val="00852889"/>
    <w:rsid w:val="00853FBB"/>
    <w:rsid w:val="00854489"/>
    <w:rsid w:val="00884FD0"/>
    <w:rsid w:val="00891833"/>
    <w:rsid w:val="008970DF"/>
    <w:rsid w:val="008A02B2"/>
    <w:rsid w:val="008A20E8"/>
    <w:rsid w:val="008B250F"/>
    <w:rsid w:val="008C1477"/>
    <w:rsid w:val="008C18B5"/>
    <w:rsid w:val="008C2BE2"/>
    <w:rsid w:val="008D0221"/>
    <w:rsid w:val="008D0395"/>
    <w:rsid w:val="008D5BE1"/>
    <w:rsid w:val="008E4CB2"/>
    <w:rsid w:val="008F2C36"/>
    <w:rsid w:val="008F5A94"/>
    <w:rsid w:val="00900C79"/>
    <w:rsid w:val="00903974"/>
    <w:rsid w:val="00903CC1"/>
    <w:rsid w:val="00910775"/>
    <w:rsid w:val="00912714"/>
    <w:rsid w:val="009147E7"/>
    <w:rsid w:val="0091486D"/>
    <w:rsid w:val="00926870"/>
    <w:rsid w:val="00944070"/>
    <w:rsid w:val="00944314"/>
    <w:rsid w:val="00944816"/>
    <w:rsid w:val="00952398"/>
    <w:rsid w:val="00955B3F"/>
    <w:rsid w:val="009647EF"/>
    <w:rsid w:val="009651FD"/>
    <w:rsid w:val="009656F2"/>
    <w:rsid w:val="00967C67"/>
    <w:rsid w:val="009875F3"/>
    <w:rsid w:val="00992948"/>
    <w:rsid w:val="009953A7"/>
    <w:rsid w:val="009A4DC6"/>
    <w:rsid w:val="009B256C"/>
    <w:rsid w:val="009B3A0B"/>
    <w:rsid w:val="009B62C6"/>
    <w:rsid w:val="009D47AB"/>
    <w:rsid w:val="009E3778"/>
    <w:rsid w:val="009E381F"/>
    <w:rsid w:val="009E7AD3"/>
    <w:rsid w:val="009F0226"/>
    <w:rsid w:val="00A05942"/>
    <w:rsid w:val="00A06409"/>
    <w:rsid w:val="00A07C6A"/>
    <w:rsid w:val="00A14BC9"/>
    <w:rsid w:val="00A16E3F"/>
    <w:rsid w:val="00A17532"/>
    <w:rsid w:val="00A21153"/>
    <w:rsid w:val="00A25F23"/>
    <w:rsid w:val="00A30C44"/>
    <w:rsid w:val="00A32393"/>
    <w:rsid w:val="00A33216"/>
    <w:rsid w:val="00A40960"/>
    <w:rsid w:val="00A53018"/>
    <w:rsid w:val="00A53AA9"/>
    <w:rsid w:val="00A60207"/>
    <w:rsid w:val="00A6397B"/>
    <w:rsid w:val="00A64B94"/>
    <w:rsid w:val="00A6605E"/>
    <w:rsid w:val="00A76398"/>
    <w:rsid w:val="00A96DCF"/>
    <w:rsid w:val="00AA32BA"/>
    <w:rsid w:val="00AB15DC"/>
    <w:rsid w:val="00AB4E10"/>
    <w:rsid w:val="00AB6ACE"/>
    <w:rsid w:val="00AC08C5"/>
    <w:rsid w:val="00AC0FF5"/>
    <w:rsid w:val="00AC2305"/>
    <w:rsid w:val="00AC5F02"/>
    <w:rsid w:val="00AC5FED"/>
    <w:rsid w:val="00AD2415"/>
    <w:rsid w:val="00AE1028"/>
    <w:rsid w:val="00AE655F"/>
    <w:rsid w:val="00AE7DA4"/>
    <w:rsid w:val="00B024B3"/>
    <w:rsid w:val="00B04378"/>
    <w:rsid w:val="00B05D3A"/>
    <w:rsid w:val="00B2218B"/>
    <w:rsid w:val="00B224B3"/>
    <w:rsid w:val="00B31C0A"/>
    <w:rsid w:val="00B3318F"/>
    <w:rsid w:val="00B44CCC"/>
    <w:rsid w:val="00B45491"/>
    <w:rsid w:val="00B62BAD"/>
    <w:rsid w:val="00B62CB3"/>
    <w:rsid w:val="00B63B2D"/>
    <w:rsid w:val="00B648EC"/>
    <w:rsid w:val="00B74794"/>
    <w:rsid w:val="00B8574F"/>
    <w:rsid w:val="00B9034F"/>
    <w:rsid w:val="00B928E9"/>
    <w:rsid w:val="00BA57CD"/>
    <w:rsid w:val="00BA5EFA"/>
    <w:rsid w:val="00BB00E6"/>
    <w:rsid w:val="00BC072F"/>
    <w:rsid w:val="00BC0F08"/>
    <w:rsid w:val="00BC0F53"/>
    <w:rsid w:val="00BC11C9"/>
    <w:rsid w:val="00BC13E5"/>
    <w:rsid w:val="00BD01E3"/>
    <w:rsid w:val="00BD4B08"/>
    <w:rsid w:val="00BD4CE3"/>
    <w:rsid w:val="00BD7CDE"/>
    <w:rsid w:val="00BE7A49"/>
    <w:rsid w:val="00BF62A3"/>
    <w:rsid w:val="00C01796"/>
    <w:rsid w:val="00C05EA3"/>
    <w:rsid w:val="00C067D9"/>
    <w:rsid w:val="00C07334"/>
    <w:rsid w:val="00C10576"/>
    <w:rsid w:val="00C12343"/>
    <w:rsid w:val="00C26B2D"/>
    <w:rsid w:val="00C34B55"/>
    <w:rsid w:val="00C60120"/>
    <w:rsid w:val="00C63B6B"/>
    <w:rsid w:val="00C64F50"/>
    <w:rsid w:val="00C67284"/>
    <w:rsid w:val="00C753BA"/>
    <w:rsid w:val="00C8036C"/>
    <w:rsid w:val="00C87E59"/>
    <w:rsid w:val="00C942D6"/>
    <w:rsid w:val="00CA0E84"/>
    <w:rsid w:val="00CA5B23"/>
    <w:rsid w:val="00CB02DF"/>
    <w:rsid w:val="00CB25ED"/>
    <w:rsid w:val="00CB768E"/>
    <w:rsid w:val="00CC421F"/>
    <w:rsid w:val="00CC5F72"/>
    <w:rsid w:val="00CD2A13"/>
    <w:rsid w:val="00CD3354"/>
    <w:rsid w:val="00CF0F48"/>
    <w:rsid w:val="00CF2CFB"/>
    <w:rsid w:val="00CF4F40"/>
    <w:rsid w:val="00D02C97"/>
    <w:rsid w:val="00D052A2"/>
    <w:rsid w:val="00D07F02"/>
    <w:rsid w:val="00D07FA5"/>
    <w:rsid w:val="00D1057A"/>
    <w:rsid w:val="00D128C4"/>
    <w:rsid w:val="00D16D97"/>
    <w:rsid w:val="00D179C1"/>
    <w:rsid w:val="00D20443"/>
    <w:rsid w:val="00D2130E"/>
    <w:rsid w:val="00D262C1"/>
    <w:rsid w:val="00D3152C"/>
    <w:rsid w:val="00D45FBB"/>
    <w:rsid w:val="00D53455"/>
    <w:rsid w:val="00D56081"/>
    <w:rsid w:val="00D60CBA"/>
    <w:rsid w:val="00D70366"/>
    <w:rsid w:val="00D7064C"/>
    <w:rsid w:val="00D8588B"/>
    <w:rsid w:val="00D92919"/>
    <w:rsid w:val="00D9753B"/>
    <w:rsid w:val="00DA03DF"/>
    <w:rsid w:val="00DB194E"/>
    <w:rsid w:val="00DB7C98"/>
    <w:rsid w:val="00DC0A52"/>
    <w:rsid w:val="00DC18F7"/>
    <w:rsid w:val="00DC69A9"/>
    <w:rsid w:val="00DD22EF"/>
    <w:rsid w:val="00DD6DDB"/>
    <w:rsid w:val="00DE15EE"/>
    <w:rsid w:val="00DE1ACF"/>
    <w:rsid w:val="00DE2F65"/>
    <w:rsid w:val="00DE442B"/>
    <w:rsid w:val="00DE7939"/>
    <w:rsid w:val="00E000FB"/>
    <w:rsid w:val="00E16B6F"/>
    <w:rsid w:val="00E21138"/>
    <w:rsid w:val="00E250ED"/>
    <w:rsid w:val="00E267FE"/>
    <w:rsid w:val="00E27145"/>
    <w:rsid w:val="00E3233E"/>
    <w:rsid w:val="00E37176"/>
    <w:rsid w:val="00E37A11"/>
    <w:rsid w:val="00E41B07"/>
    <w:rsid w:val="00E41C38"/>
    <w:rsid w:val="00E43D94"/>
    <w:rsid w:val="00E55F7B"/>
    <w:rsid w:val="00E566A7"/>
    <w:rsid w:val="00E62943"/>
    <w:rsid w:val="00E65696"/>
    <w:rsid w:val="00E716CB"/>
    <w:rsid w:val="00E8489E"/>
    <w:rsid w:val="00E90D39"/>
    <w:rsid w:val="00EA6C44"/>
    <w:rsid w:val="00EA7CE0"/>
    <w:rsid w:val="00EC01D5"/>
    <w:rsid w:val="00EC1405"/>
    <w:rsid w:val="00EC6636"/>
    <w:rsid w:val="00ED3C1C"/>
    <w:rsid w:val="00EE2FBE"/>
    <w:rsid w:val="00EE6947"/>
    <w:rsid w:val="00EF272F"/>
    <w:rsid w:val="00EF3019"/>
    <w:rsid w:val="00F02AB1"/>
    <w:rsid w:val="00F04B68"/>
    <w:rsid w:val="00F22B8C"/>
    <w:rsid w:val="00F269DE"/>
    <w:rsid w:val="00F271BD"/>
    <w:rsid w:val="00F317A6"/>
    <w:rsid w:val="00F3448D"/>
    <w:rsid w:val="00F40AC4"/>
    <w:rsid w:val="00F61BC8"/>
    <w:rsid w:val="00F71C53"/>
    <w:rsid w:val="00F748DA"/>
    <w:rsid w:val="00F75DDD"/>
    <w:rsid w:val="00F75EC1"/>
    <w:rsid w:val="00F7684B"/>
    <w:rsid w:val="00F802EF"/>
    <w:rsid w:val="00F83E36"/>
    <w:rsid w:val="00F84672"/>
    <w:rsid w:val="00F940FE"/>
    <w:rsid w:val="00F9463D"/>
    <w:rsid w:val="00F96032"/>
    <w:rsid w:val="00F97390"/>
    <w:rsid w:val="00FB2A97"/>
    <w:rsid w:val="00FB3DC6"/>
    <w:rsid w:val="00FB5DB8"/>
    <w:rsid w:val="00FC79B8"/>
    <w:rsid w:val="00FC7C74"/>
    <w:rsid w:val="00FD132F"/>
    <w:rsid w:val="00FD5204"/>
    <w:rsid w:val="00FF68A5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56DC"/>
  <w15:chartTrackingRefBased/>
  <w15:docId w15:val="{1E2E187B-9477-43E2-AC1C-705B1EAE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1E61"/>
    <w:pPr>
      <w:spacing w:after="200" w:line="276" w:lineRule="auto"/>
    </w:pPr>
  </w:style>
  <w:style w:type="paragraph" w:styleId="3">
    <w:name w:val="heading 3"/>
    <w:basedOn w:val="a0"/>
    <w:link w:val="30"/>
    <w:uiPriority w:val="9"/>
    <w:qFormat/>
    <w:rsid w:val="005B4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qFormat/>
    <w:rsid w:val="0022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0"/>
    <w:rsid w:val="0022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0"/>
    <w:link w:val="310"/>
    <w:qFormat/>
    <w:rsid w:val="00221E61"/>
    <w:pPr>
      <w:widowControl w:val="0"/>
      <w:numPr>
        <w:numId w:val="2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 w:line="240" w:lineRule="auto"/>
      <w:jc w:val="center"/>
      <w:outlineLvl w:val="2"/>
    </w:pPr>
    <w:rPr>
      <w:rFonts w:ascii="Arial" w:eastAsia="Calibri" w:hAnsi="Arial" w:cs="Times New Roman"/>
      <w:b/>
      <w:color w:val="000000"/>
      <w:sz w:val="24"/>
      <w:szCs w:val="24"/>
      <w:lang w:val="x-none" w:eastAsia="x-none"/>
    </w:rPr>
  </w:style>
  <w:style w:type="numbering" w:customStyle="1" w:styleId="4">
    <w:name w:val="Стиль4"/>
    <w:uiPriority w:val="99"/>
    <w:rsid w:val="00221E61"/>
    <w:pPr>
      <w:numPr>
        <w:numId w:val="1"/>
      </w:numPr>
    </w:pPr>
  </w:style>
  <w:style w:type="character" w:customStyle="1" w:styleId="310">
    <w:name w:val="3 Статья 1. Знак"/>
    <w:link w:val="31"/>
    <w:rsid w:val="00221E61"/>
    <w:rPr>
      <w:rFonts w:ascii="Arial" w:eastAsia="Calibri" w:hAnsi="Arial" w:cs="Times New Roman"/>
      <w:b/>
      <w:color w:val="000000"/>
      <w:sz w:val="24"/>
      <w:szCs w:val="24"/>
      <w:shd w:val="clear" w:color="auto" w:fill="FFFFFF"/>
      <w:lang w:val="x-none" w:eastAsia="x-none"/>
    </w:rPr>
  </w:style>
  <w:style w:type="paragraph" w:styleId="a5">
    <w:name w:val="List Paragraph"/>
    <w:aliases w:val="маркированный,List Paragraph 1,пункты,Абзац списка 1,Bullet List,FooterText,numbered,Нумерованый список,List Paragraph1,Маркер,A_маркированный_список,strich,2nd Tier Header,Citation List,Heading1,Colorful List - Accent 11,N_List Paragraph"/>
    <w:basedOn w:val="a0"/>
    <w:link w:val="a6"/>
    <w:uiPriority w:val="34"/>
    <w:qFormat/>
    <w:rsid w:val="001E2A02"/>
    <w:pPr>
      <w:ind w:left="720"/>
      <w:contextualSpacing/>
    </w:pPr>
  </w:style>
  <w:style w:type="character" w:customStyle="1" w:styleId="a6">
    <w:name w:val="Абзац списка Знак"/>
    <w:aliases w:val="маркированный Знак,List Paragraph 1 Знак,пункты Знак,Абзац списка 1 Знак,Bullet List Знак,FooterText Знак,numbered Знак,Нумерованый список Знак,List Paragraph1 Знак,Маркер Знак,A_маркированный_список Знак,strich Знак,Citation List Знак"/>
    <w:link w:val="a5"/>
    <w:uiPriority w:val="34"/>
    <w:qFormat/>
    <w:rsid w:val="005C748E"/>
  </w:style>
  <w:style w:type="paragraph" w:customStyle="1" w:styleId="TableParagraph">
    <w:name w:val="Table Paragraph"/>
    <w:basedOn w:val="a0"/>
    <w:uiPriority w:val="1"/>
    <w:qFormat/>
    <w:rsid w:val="00C60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1"/>
    <w:link w:val="3"/>
    <w:uiPriority w:val="9"/>
    <w:rsid w:val="005B4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1"/>
    <w:uiPriority w:val="99"/>
    <w:unhideWhenUsed/>
    <w:rsid w:val="005B4B3A"/>
    <w:rPr>
      <w:color w:val="0000FF"/>
      <w:u w:val="single"/>
    </w:rPr>
  </w:style>
  <w:style w:type="paragraph" w:styleId="a8">
    <w:name w:val="Normal (Web)"/>
    <w:basedOn w:val="a0"/>
    <w:uiPriority w:val="99"/>
    <w:unhideWhenUsed/>
    <w:rsid w:val="005B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1"/>
    <w:rsid w:val="005B4B3A"/>
  </w:style>
  <w:style w:type="paragraph" w:customStyle="1" w:styleId="a">
    <w:name w:val="Статья"/>
    <w:basedOn w:val="a0"/>
    <w:rsid w:val="00D9753B"/>
    <w:pPr>
      <w:widowControl w:val="0"/>
      <w:numPr>
        <w:numId w:val="10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annotation reference"/>
    <w:basedOn w:val="a1"/>
    <w:uiPriority w:val="99"/>
    <w:semiHidden/>
    <w:unhideWhenUsed/>
    <w:rsid w:val="00B8574F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B8574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B8574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57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8574F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B8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B8574F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1"/>
    <w:link w:val="Bodytext20"/>
    <w:rsid w:val="00FC7C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7C74"/>
    <w:pPr>
      <w:widowControl w:val="0"/>
      <w:shd w:val="clear" w:color="auto" w:fill="FFFFFF"/>
      <w:spacing w:before="180" w:after="180" w:line="365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CD9C-F072-4773-8B92-74F6914E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11677</Words>
  <Characters>66563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Tleumuratov, Diar</dc:creator>
  <cp:keywords/>
  <dc:description/>
  <cp:lastModifiedBy>Туржанов Саят Жандылдаевич</cp:lastModifiedBy>
  <cp:revision>98</cp:revision>
  <dcterms:created xsi:type="dcterms:W3CDTF">2024-07-16T11:29:00Z</dcterms:created>
  <dcterms:modified xsi:type="dcterms:W3CDTF">2024-07-22T06:51:00Z</dcterms:modified>
</cp:coreProperties>
</file>